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594E25" w14:textId="745EC29D" w:rsidR="005C7F47" w:rsidRDefault="00912F5D">
      <w:pPr>
        <w:rPr>
          <w:b/>
          <w:bCs/>
          <w:u w:val="single"/>
        </w:rPr>
      </w:pPr>
      <w:r>
        <w:rPr>
          <w:b/>
          <w:bCs/>
          <w:u w:val="single"/>
        </w:rPr>
        <w:t xml:space="preserve">Reglamentación, restricción y suspensión de los derechos. </w:t>
      </w:r>
    </w:p>
    <w:p w14:paraId="7558AF14" w14:textId="5F8DE325" w:rsidR="00912F5D" w:rsidRDefault="00912F5D">
      <w:r>
        <w:t>En principio, vamos a mencionar que ningún derecho es absoluto, es decir, que todos los derechos tienen limites -son relativos-.</w:t>
      </w:r>
    </w:p>
    <w:p w14:paraId="52B3A5F2" w14:textId="29AC1F17" w:rsidR="00912F5D" w:rsidRDefault="00912F5D">
      <w:r>
        <w:t xml:space="preserve">Dicho esto, </w:t>
      </w:r>
      <w:r w:rsidRPr="0078525D">
        <w:rPr>
          <w:b/>
          <w:bCs/>
        </w:rPr>
        <w:t>establecer límites a los mismos</w:t>
      </w:r>
      <w:r>
        <w:t>, permite, además, proteger a los grupos más vulnerables, como también asegurar que las personas no abusen de sus derechos para dañar a otras.</w:t>
      </w:r>
    </w:p>
    <w:p w14:paraId="46BCA96E" w14:textId="55163C44" w:rsidR="00912F5D" w:rsidRDefault="00912F5D">
      <w:r>
        <w:t>En efecto, el art</w:t>
      </w:r>
      <w:r w:rsidR="00CD5869">
        <w:t>í</w:t>
      </w:r>
      <w:r>
        <w:t>culo 29 de la Declaración Universal de los Derechos Humanos, establece que los derechos y libertades de las personas solo pueden ser limitados por ley para asegurar el respeto de los derechos y libertades de los demás y satisfacer las justas exigencias de la moral, del orden público y del bienestar en general en una sociedad democrática.</w:t>
      </w:r>
    </w:p>
    <w:p w14:paraId="6FC5AF50" w14:textId="5AEB21F4" w:rsidR="00912F5D" w:rsidRDefault="006A2C94">
      <w:r>
        <w:t>También la Declaración Americana de Derechos Humano</w:t>
      </w:r>
      <w:r w:rsidR="00912F5D">
        <w:t xml:space="preserve"> establece que los derechos de cada persona están limitados por los derechos de los demás, la seguridad de todos y las justas exigencias del bienestar general y del desenvolvimiento democrático. </w:t>
      </w:r>
    </w:p>
    <w:p w14:paraId="4777A890" w14:textId="7B395C7B" w:rsidR="00912F5D" w:rsidRDefault="00912F5D">
      <w:r>
        <w:t xml:space="preserve">Finalmente, </w:t>
      </w:r>
      <w:r w:rsidR="006A2C94">
        <w:t xml:space="preserve">en la Convención Americana sobre Derechos Humanos, </w:t>
      </w:r>
      <w:r>
        <w:t xml:space="preserve">establece en su </w:t>
      </w:r>
      <w:r w:rsidR="006A2C94">
        <w:t>artículo</w:t>
      </w:r>
      <w:r>
        <w:t xml:space="preserve"> 32 la correlación entre deberes y derechos, indicando que toda persona tiene deberes para con la familia, la comunidad y la humanidad, y que los derechos de cada persona están limitados por los derechos de los demás, la seguridad de todos y las justas exigencias del bien común en una sociedad democrática. </w:t>
      </w:r>
    </w:p>
    <w:p w14:paraId="5B4ADA93" w14:textId="78D95A3C" w:rsidR="006A2C94" w:rsidRDefault="006A2C94">
      <w:r>
        <w:t xml:space="preserve">En todos estos instrumentos se subraya la idea de que los derechos humanos no son absolutos y deben estar sujetos a ciertas limitaciones para garantizar la protección de los derechos y libertades de todas las personas, así como el bienestar general de la sociedad y la vida en una sociedad democrática. </w:t>
      </w:r>
    </w:p>
    <w:p w14:paraId="35732633" w14:textId="2EC7202D" w:rsidR="006A2C94" w:rsidRPr="00380EAC" w:rsidRDefault="006A2C94">
      <w:pPr>
        <w:rPr>
          <w:b/>
          <w:bCs/>
        </w:rPr>
      </w:pPr>
      <w:r w:rsidRPr="00380EAC">
        <w:rPr>
          <w:b/>
          <w:bCs/>
        </w:rPr>
        <w:t xml:space="preserve">Reglamentación razonable: </w:t>
      </w:r>
    </w:p>
    <w:p w14:paraId="09E76375" w14:textId="06AB9DD8" w:rsidR="006A2C94" w:rsidRDefault="006A2C94">
      <w:r>
        <w:t xml:space="preserve">Para que los derechos puedan ser ejercidos de manera efectiva y equilibrada es necesario establecer ciertas reglas y condiciones. A ello es lo que llamamos reglamentar un derecho. </w:t>
      </w:r>
      <w:r w:rsidR="00380EAC">
        <w:t>Por su parte, restringir los derechos implica establecer límites de carácter permanente a su goce y ejercicio en función de un interés estatal relevante.</w:t>
      </w:r>
    </w:p>
    <w:p w14:paraId="3D812A4D" w14:textId="29B47452" w:rsidR="00380EAC" w:rsidRDefault="00380EAC">
      <w:r>
        <w:t xml:space="preserve">Si bien toda norma puede ser reglamentada, no todas deben serlo necesariamente. La </w:t>
      </w:r>
      <w:proofErr w:type="spellStart"/>
      <w:r>
        <w:t>omisión</w:t>
      </w:r>
      <w:proofErr w:type="spellEnd"/>
      <w:r>
        <w:t xml:space="preserve"> legislativa no puede impedir el ejercicio de un derecho.</w:t>
      </w:r>
    </w:p>
    <w:p w14:paraId="7705C9A3" w14:textId="45A93A3F" w:rsidR="00380EAC" w:rsidRDefault="00380EAC">
      <w:r>
        <w:lastRenderedPageBreak/>
        <w:t>Tratándose de derechos humanos, su reglamentación consiste en un conjunto de normas y reglas adicionales y complementarias que tienen como objetivo facilitar y garantizar su goce y ejercicio, sin desvirtuar su naturaleza.</w:t>
      </w:r>
    </w:p>
    <w:p w14:paraId="305BF93A" w14:textId="54B8E6FA" w:rsidR="00380EAC" w:rsidRDefault="00380EAC">
      <w:r>
        <w:t>Estas normas establecen las condiciones y requisitos necesarios para que el derecho pueda ser ejercido y, de ese modo, que su goce y ejercicio sea compatible con los derechos de las demás personas y el interés público.</w:t>
      </w:r>
    </w:p>
    <w:p w14:paraId="239CA374" w14:textId="27CECA51" w:rsidR="00380EAC" w:rsidRDefault="00380EAC">
      <w:r>
        <w:t>La constitución Nacional en su artículo 14 indica que “todos los habitantes de la Nación gozan de los siguientes derechos conforme a las leyes que reglamenten su ejercicio”</w:t>
      </w:r>
    </w:p>
    <w:p w14:paraId="49B096F7" w14:textId="7A97ABDE" w:rsidR="00380EAC" w:rsidRDefault="00380EAC">
      <w:r>
        <w:t>Pero vinculado a lo que venimos mencionando, el art</w:t>
      </w:r>
      <w:r w:rsidR="00CD5869">
        <w:t>í</w:t>
      </w:r>
      <w:r>
        <w:t xml:space="preserve">culo 28 </w:t>
      </w:r>
      <w:r w:rsidR="00617636">
        <w:t>de la Constitución Nacional funciona como limite a los poderes constituidos, en tanto afirma que “los principios, garantías y derechos reconocidos en los anteriores artículos, no podrán ser alterados por las leyes que reglamenten su ejercicio”.</w:t>
      </w:r>
    </w:p>
    <w:p w14:paraId="1DA81613" w14:textId="70A66712" w:rsidR="00617636" w:rsidRDefault="00617636">
      <w:r>
        <w:t xml:space="preserve">La limitación de derechos debe ser equitativa y razonable; esto es, “comprensiva de situaciones claramente incompatibles con el ejercicio normal de la actividad de que se trata”. A los fines de evitar la arbitrariedad, a la hora de evaluar la validez de una distinción se realiza un “test de razonabilidad”, que consiste en determinar si el medio utilizado por la norma resulta desproporcionado, </w:t>
      </w:r>
      <w:r w:rsidR="0078525D">
        <w:t>si,</w:t>
      </w:r>
      <w:r>
        <w:t xml:space="preserve"> aunque obtiene el fin perseguido lo excede y si guarda alguna relación de causalidad con el fin, aunque aquel no sea el único con el que se lo pueda alcanzar.</w:t>
      </w:r>
    </w:p>
    <w:p w14:paraId="68C1345A" w14:textId="64A84CA6" w:rsidR="00617636" w:rsidRDefault="00617636">
      <w:r>
        <w:t xml:space="preserve">Además, las leyes que imponen restricciones deben ser dictadas por razones de interés general y tener como objetivo el bien común, que se entiende como las condiciones de la vida social que permiten a quienes integramos la sociedad alcanzar el mayor grado de desarrollo personal y la mayor vigencia de los valores democráticos. </w:t>
      </w:r>
    </w:p>
    <w:p w14:paraId="12206763" w14:textId="2D28E179" w:rsidR="00617636" w:rsidRDefault="0078525D">
      <w:r>
        <w:t>El tribunal regional (la Corte Interamericana de DDHH) destacó que la restricción debe perseguir un objetivo legitimo permitido por la Convención</w:t>
      </w:r>
      <w:r w:rsidR="00617636">
        <w:t xml:space="preserve"> Americana sobre Derechos Humanos</w:t>
      </w:r>
      <w:r>
        <w:t xml:space="preserve">; es decir, uno que proteja el interés público relevante, como la seguridad nacional, el orden público, la salud o la moral públicas o los derechos y libertades de los demás. </w:t>
      </w:r>
    </w:p>
    <w:p w14:paraId="0FF5A685" w14:textId="2DBB605B" w:rsidR="0078525D" w:rsidRDefault="0078525D">
      <w:r>
        <w:t>En síntesis, para cumplir con los estándares interamericanos, teniendo en cuenta el contexto espec</w:t>
      </w:r>
      <w:r w:rsidR="00CD5869">
        <w:t>í</w:t>
      </w:r>
      <w:r>
        <w:t>fico de cada caso y las circunstancias particulares involucradas, se deben examinar tres aspectos de la restricción:</w:t>
      </w:r>
    </w:p>
    <w:p w14:paraId="68C1E00C" w14:textId="13D8B44A" w:rsidR="0078525D" w:rsidRDefault="0078525D" w:rsidP="0078525D">
      <w:pPr>
        <w:pStyle w:val="Prrafodelista"/>
        <w:numPr>
          <w:ilvl w:val="0"/>
          <w:numId w:val="1"/>
        </w:numPr>
      </w:pPr>
      <w:r>
        <w:lastRenderedPageBreak/>
        <w:t xml:space="preserve">Debe ser </w:t>
      </w:r>
      <w:r w:rsidRPr="0078525D">
        <w:rPr>
          <w:b/>
          <w:bCs/>
        </w:rPr>
        <w:t>idónea</w:t>
      </w:r>
      <w:r>
        <w:t>, es decir, adecuada para alcanzar un objetivo perseguido y no debe limitar los derechos de manera desproporcionada</w:t>
      </w:r>
    </w:p>
    <w:p w14:paraId="43F65989" w14:textId="579EC708" w:rsidR="0078525D" w:rsidRDefault="0078525D" w:rsidP="0078525D">
      <w:pPr>
        <w:pStyle w:val="Prrafodelista"/>
        <w:numPr>
          <w:ilvl w:val="0"/>
          <w:numId w:val="1"/>
        </w:numPr>
      </w:pPr>
      <w:r>
        <w:t xml:space="preserve">Debe ser </w:t>
      </w:r>
      <w:r w:rsidRPr="0078525D">
        <w:rPr>
          <w:b/>
          <w:bCs/>
        </w:rPr>
        <w:t>necesaria</w:t>
      </w:r>
      <w:r>
        <w:t xml:space="preserve"> en una sociedad democrática, es decir, indispensable, lo que implica la existencia de una “necesidad social”</w:t>
      </w:r>
    </w:p>
    <w:p w14:paraId="020B92CA" w14:textId="4C581F1B" w:rsidR="0078525D" w:rsidRDefault="0078525D" w:rsidP="0078525D">
      <w:pPr>
        <w:pStyle w:val="Prrafodelista"/>
        <w:numPr>
          <w:ilvl w:val="0"/>
          <w:numId w:val="1"/>
        </w:numPr>
      </w:pPr>
      <w:r>
        <w:t xml:space="preserve">Debe ser </w:t>
      </w:r>
      <w:r w:rsidRPr="0078525D">
        <w:rPr>
          <w:b/>
          <w:bCs/>
        </w:rPr>
        <w:t>proporcional</w:t>
      </w:r>
      <w:r>
        <w:t xml:space="preserve"> en sentido estricto, es decir, el beneficio que se obtiene al lograr el objetivo legitimo debe ser mayor que el perjuicio causado por la limitación del derecho en cuestión. </w:t>
      </w:r>
    </w:p>
    <w:p w14:paraId="77A19F4D" w14:textId="489D0D69" w:rsidR="0078525D" w:rsidRDefault="0078525D" w:rsidP="0078525D">
      <w:r>
        <w:t>Además, en caso de existir varios medios que permiten alcanzar el objetivo buscado, se debe escoger el menos restrictivo</w:t>
      </w:r>
    </w:p>
    <w:p w14:paraId="5E9788D1" w14:textId="77777777" w:rsidR="0078525D" w:rsidRDefault="0078525D" w:rsidP="0078525D"/>
    <w:p w14:paraId="275AFC76" w14:textId="76EDC38C" w:rsidR="0078525D" w:rsidRDefault="0078525D" w:rsidP="0078525D">
      <w:pPr>
        <w:rPr>
          <w:b/>
          <w:bCs/>
        </w:rPr>
      </w:pPr>
      <w:r w:rsidRPr="0078525D">
        <w:rPr>
          <w:b/>
          <w:bCs/>
        </w:rPr>
        <w:t>Suspensión del ejercicio de los derechos humanos:</w:t>
      </w:r>
    </w:p>
    <w:p w14:paraId="690F18D1" w14:textId="3860D43A" w:rsidR="0078525D" w:rsidRDefault="0078525D" w:rsidP="0078525D">
      <w:r>
        <w:t>La suspensión del goce y ejercicio de un derecho humano es una medida extrema que puede ocurrir únicamente en situaciones excepcionales, como puede ser un conflicto armado, un estado de emergencia -</w:t>
      </w:r>
      <w:r w:rsidR="00CC3FFD">
        <w:t>también</w:t>
      </w:r>
      <w:r>
        <w:t xml:space="preserve"> denominado “estado de sitio”</w:t>
      </w:r>
      <w:r w:rsidR="00CC3FFD">
        <w:t xml:space="preserve">- o una crisis nacional. </w:t>
      </w:r>
    </w:p>
    <w:p w14:paraId="0EAACD9C" w14:textId="7E7CEBCE" w:rsidR="00CC3FFD" w:rsidRDefault="00CC3FFD" w:rsidP="0078525D">
      <w:r>
        <w:t xml:space="preserve">El objetivo de la suspensión es proteger a la sociedad y al Estado en una situación de amenaza o peligro para la estabilidad nacional y permitir la adopción de medidas extraordinarias para enfrentar dicha situación que, por su gravedad, anomalía y emergencia, no puede solucionarse con los mecanismos previstos para las épocas de normalidad. </w:t>
      </w:r>
    </w:p>
    <w:p w14:paraId="5AD720F3" w14:textId="3DDF2651" w:rsidR="00CC3FFD" w:rsidRDefault="00CC3FFD" w:rsidP="0078525D">
      <w:r>
        <w:t>La Convención Americana de Derechos Humanos, en su art</w:t>
      </w:r>
      <w:r w:rsidR="00CD5869">
        <w:t>í</w:t>
      </w:r>
      <w:r>
        <w:t>culo 27, inc. 1,al igual que en el Pacto Internacional de Derechos Civiles y Políticos en su artículo 4, establece el modo en que puede suspenderse el ejercicio de determinados derechos: las disposiciones que el Estado adopte deben tener una duración estrictamente limitada a las exigencias de la situación y en la medida necesaria para enfrentarla; no deben ser incompatibles con las demás obligaciones impuestas por el derecho internacional; y no pueden entrañar discriminación alguna basada en raza, color, sexo, idioma, religión u origen social.</w:t>
      </w:r>
    </w:p>
    <w:p w14:paraId="2839200C" w14:textId="16BE2F85" w:rsidR="00CC3FFD" w:rsidRDefault="00E005C0" w:rsidP="0078525D">
      <w:r>
        <w:t xml:space="preserve">El inciso </w:t>
      </w:r>
      <w:r w:rsidR="00CD5869">
        <w:t>3</w:t>
      </w:r>
      <w:r>
        <w:t xml:space="preserve"> de esta disposición agrega que los Estados deben informar a los demás Estados miembros de la OEA sobre las medidas de suspensión adoptadas y los motivos que la justifican, lo que promueve la transparencia y permite a la comunidad internacional evaluar si las medidas de suspensión se ajustan a los estándares internacionales de derechos humanos.</w:t>
      </w:r>
    </w:p>
    <w:p w14:paraId="5F60705C" w14:textId="0AFDB74F" w:rsidR="00E005C0" w:rsidRDefault="00E005C0" w:rsidP="0078525D">
      <w:r>
        <w:lastRenderedPageBreak/>
        <w:t xml:space="preserve">Es muy importante comprender en este punto que el inciso </w:t>
      </w:r>
      <w:r w:rsidR="00CD5869">
        <w:t>2</w:t>
      </w:r>
      <w:r>
        <w:t xml:space="preserve"> del artículo de la CADH enuncia un catálogo expreso de derechos y garantías que no pueden ser objeto de suspensión alguna en su ejercicio: el derecho a la vida, el derecho a la integridad personal, la prohibición de la esclavitud y servidumbre, el principio de legalidad y de retroactividad, de libertad de conciencia, de religión, la protección a la familia, el derecho al nombre, los derechos de los Niños, Niñas y Adolescentes, el derecho a la nacionalidad y los derechos políticos. </w:t>
      </w:r>
    </w:p>
    <w:p w14:paraId="3EA08D62" w14:textId="28D5D402" w:rsidR="00E005C0" w:rsidRDefault="00E005C0" w:rsidP="0078525D">
      <w:r>
        <w:t xml:space="preserve">La corte Interamericana de Derechos Humanos (IDH), agregó que tampoco pueden suspenderse las garantías judiciales indispensables para la protección de estos derechos, como el habeas corpus y el amparo, que sirven, además, para preservar la legalidad en una sociedad democrática. </w:t>
      </w:r>
    </w:p>
    <w:p w14:paraId="77DB9D8C" w14:textId="0B958FB5" w:rsidR="00E005C0" w:rsidRDefault="00E005C0" w:rsidP="0078525D">
      <w:r>
        <w:t>De igual modo, “los principios del debido proceso legal no pueden suspenderse con motivo de las situaciones de excepción, en cuanto constituyen condiciones necesarias para que los instrumentos procesales, regulados por la Convención, puedan considerarse como garantías judiciales”.</w:t>
      </w:r>
    </w:p>
    <w:p w14:paraId="168C0F59" w14:textId="3EF54CBE" w:rsidR="00E005C0" w:rsidRDefault="00E005C0" w:rsidP="0078525D">
      <w:r>
        <w:t>Adicionalmente, destacó la importancia del control judicial para garantizar que la suspensión en el ejercicio de los derechos humanos se ajuste a las normas internacionales</w:t>
      </w:r>
      <w:r w:rsidR="00FB4B3B">
        <w:t xml:space="preserve"> y al ordenamiento jurídico interno”, lo cual comprende la facultad del Poder Judicial de revisar y evaluar la legalidad y proporcionalidad de las medidas de suspensión adoptadas.</w:t>
      </w:r>
    </w:p>
    <w:p w14:paraId="58A99397" w14:textId="7CF1E394" w:rsidR="00FB4B3B" w:rsidRDefault="00FB4B3B" w:rsidP="0078525D">
      <w:r>
        <w:t>Para el tribunal, la juridicidad de las medidas que se adopten para enfrentar cada una de las situaciones especiales, dependerá “del carácter, intensidad, profundidad y particular contexto de la emergencia, así como de la proporcionalidad y razonabilidad que guarden las medidas adoptadas respecto de ella”</w:t>
      </w:r>
      <w:r w:rsidR="00AD4D2D">
        <w:t>.</w:t>
      </w:r>
    </w:p>
    <w:p w14:paraId="3AF0126D" w14:textId="0310139F" w:rsidR="00AD4D2D" w:rsidRDefault="00AD4D2D" w:rsidP="0078525D">
      <w:r>
        <w:t>En el ámbito interno, los artículos 61,75, inciso 29 y 99, inciso 16 de la Constitución Nacional establecen el procedimiento que debe seguirse para la declaración del estado de sitio en nuestro país, ya sea en una provincia o en todo el territorio.</w:t>
      </w:r>
    </w:p>
    <w:p w14:paraId="2863C7F9" w14:textId="77777777" w:rsidR="00A07E0C" w:rsidRDefault="00A07E0C" w:rsidP="0078525D"/>
    <w:p w14:paraId="43B9655B" w14:textId="6234BB0C" w:rsidR="00A07E0C" w:rsidRDefault="00A07E0C" w:rsidP="0078525D">
      <w:pPr>
        <w:rPr>
          <w:b/>
          <w:bCs/>
          <w:u w:val="single"/>
        </w:rPr>
      </w:pPr>
      <w:r w:rsidRPr="00A07E0C">
        <w:rPr>
          <w:b/>
          <w:bCs/>
          <w:u w:val="single"/>
        </w:rPr>
        <w:t>Derecho a la protección judicial y garantías del debido proceso:</w:t>
      </w:r>
    </w:p>
    <w:p w14:paraId="2E7A296B" w14:textId="2DFE495E" w:rsidR="00A07E0C" w:rsidRDefault="00A07E0C" w:rsidP="0078525D">
      <w:r>
        <w:rPr>
          <w:b/>
          <w:bCs/>
          <w:u w:val="single"/>
        </w:rPr>
        <w:t xml:space="preserve">En el preámbulo de la Constitución nacional </w:t>
      </w:r>
      <w:r w:rsidRPr="00A07E0C">
        <w:t>menciona el objeto de “afianzar la justicia”. Además, el art</w:t>
      </w:r>
      <w:r w:rsidR="00CD5869">
        <w:t>í</w:t>
      </w:r>
      <w:r w:rsidRPr="00A07E0C">
        <w:t>culo 18 reconoce que: “</w:t>
      </w:r>
      <w:r w:rsidR="00FE111A">
        <w:t>Ningún</w:t>
      </w:r>
      <w:r>
        <w:t xml:space="preserve"> habitante de la </w:t>
      </w:r>
      <w:r w:rsidR="00FE111A">
        <w:t>Nación</w:t>
      </w:r>
      <w:r>
        <w:t xml:space="preserve"> puede ser penado sin juicio previo fundado en ley anterior al hecho del proceso, ni juzgado por comisiones especiales, o sacado de los jueces designados por ley antes del </w:t>
      </w:r>
      <w:r>
        <w:lastRenderedPageBreak/>
        <w:t>hecho de la causa</w:t>
      </w:r>
      <w:r w:rsidR="00FE111A">
        <w:t xml:space="preserve"> […]. Es inviolable la defensa en juicio de la persona y de los derechos.”</w:t>
      </w:r>
    </w:p>
    <w:p w14:paraId="61324E20" w14:textId="4D86590F" w:rsidR="00FE111A" w:rsidRDefault="00FE111A" w:rsidP="0078525D">
      <w:r>
        <w:t>Finalmente, el art</w:t>
      </w:r>
      <w:r w:rsidR="00CD5869">
        <w:t>í</w:t>
      </w:r>
      <w:r>
        <w:t>culo 75, inciso 19 dispone que corresponde al Congreso “proveer lo conducente al desarrollo humano, al progreso económico con justicia social”.</w:t>
      </w:r>
    </w:p>
    <w:p w14:paraId="0D43C2C2" w14:textId="0285437F" w:rsidR="00FE111A" w:rsidRDefault="00FE111A" w:rsidP="0078525D">
      <w:r>
        <w:t xml:space="preserve">Como primera aclaración que haremos al momento de hablar de protección judicial o acceso a la jurisdicción es diferenciarlo del concepto de acceso a la justicia o acceso a los derechos. En efecto, la noción de acceso a la justicia busca lograr la inclusión y el desarrollo social y humano con equidad. Por ende, no está exclusivamente orientado a la administración de justicia y al mero acceso a la jurisdicción sino que, antes bien, refiere a la consecución de justicia en términos sustantivos, esto es, el acceso a las políticas públicas destinadas a la facilitación del pleno goce y ejercicio de los derechos humanos, sobre todo por parte de las personas y grupos en situación de mayor vulnerabilidad socioeconómica, quienes encuentran mayores dificultades para sortear las desigualdades fácticas y jurídicas a la hora de solucionar un conflicto o reclamar por la garantía de un derecho. </w:t>
      </w:r>
    </w:p>
    <w:p w14:paraId="0694168E" w14:textId="28157E1A" w:rsidR="00FE111A" w:rsidRDefault="00FE111A" w:rsidP="0078525D">
      <w:r>
        <w:t xml:space="preserve">En este sentido, el acceso a la justicia se constituye en una herramienta indispensable para superar las limitaciones derivadas de las situaciones de vulnerabilidad que obstan </w:t>
      </w:r>
      <w:r w:rsidR="003F6688">
        <w:t xml:space="preserve">el efectivo goce de los derechos, por lo que los Estados deben profundizar sus políticas publicas de acceso a la justicia procurando que alcancen a todos sus habitantes y teniendo en consideración las diferencias existentes entre los diversos grupos sociales. </w:t>
      </w:r>
    </w:p>
    <w:p w14:paraId="421FF937" w14:textId="737AAB2C" w:rsidR="003F6688" w:rsidRDefault="003F6688" w:rsidP="0078525D">
      <w:r>
        <w:t>Si nos referimos estrictamente a la protección judicial de los derechos, la Corte CSJN ha señalado que “el derecho de acceso a la justicia importa la posibilidad de concurrir ante algún órgano jurisdiccional y obtener de ellos una sentencia útil relativa al alcance de los derechos de los litigantes”.</w:t>
      </w:r>
    </w:p>
    <w:p w14:paraId="27C21BAC" w14:textId="7281A39D" w:rsidR="003F6688" w:rsidRDefault="003F6688" w:rsidP="0078525D">
      <w:r>
        <w:t>Por su parte, el art</w:t>
      </w:r>
      <w:r w:rsidR="00CD5869">
        <w:t>í</w:t>
      </w:r>
      <w:r>
        <w:t>culo 25 de la Convención Americana de DDHH (CADH), establece que:</w:t>
      </w:r>
    </w:p>
    <w:p w14:paraId="23256AA3" w14:textId="0C388D0C" w:rsidR="003F6688" w:rsidRDefault="003F6688" w:rsidP="0078525D">
      <w:r>
        <w:t xml:space="preserve">“1. Toda persona tiene derecho a un recurso sencillo y rápido o a cualquier otro recurso efectivo y rápido o a cualquier otro recurso efectivo ante los jueces o tribunales competentes, que le ampare contra actos que violen sus derechos fundamentales reconocidos por la Constitución, la ley o la presente </w:t>
      </w:r>
      <w:r w:rsidR="00E321AE">
        <w:t>convención, aun cuando tal violación sea cometida por personas que actúen en ejercicio de sus funciones oficiales.</w:t>
      </w:r>
    </w:p>
    <w:p w14:paraId="2115A390" w14:textId="2686960D" w:rsidR="00E321AE" w:rsidRDefault="00E321AE" w:rsidP="0078525D">
      <w:r>
        <w:t xml:space="preserve">2. Los </w:t>
      </w:r>
      <w:proofErr w:type="gramStart"/>
      <w:r>
        <w:t>Estados partes</w:t>
      </w:r>
      <w:proofErr w:type="gramEnd"/>
      <w:r>
        <w:t xml:space="preserve"> se comprometen:</w:t>
      </w:r>
    </w:p>
    <w:p w14:paraId="26E1173F" w14:textId="35279911" w:rsidR="00E321AE" w:rsidRDefault="00E321AE" w:rsidP="0078525D">
      <w:r>
        <w:lastRenderedPageBreak/>
        <w:t>A.   A garantizar que la autoridad competente prevista por el sistema legal del Estado decidirá sobre los derechos de toda persona que interponga el recurso;</w:t>
      </w:r>
    </w:p>
    <w:p w14:paraId="2B94E7BA" w14:textId="62D5ED8D" w:rsidR="00E321AE" w:rsidRDefault="00E321AE" w:rsidP="0078525D">
      <w:r>
        <w:t>B. a desarrollar las posibilidades de recurso judicial, y</w:t>
      </w:r>
    </w:p>
    <w:p w14:paraId="0CF832FF" w14:textId="5423A721" w:rsidR="00E321AE" w:rsidRDefault="00E321AE" w:rsidP="0078525D">
      <w:r>
        <w:t>C. A garantizar el cumplimiento, por las autoridades competentes, de toda decisión en que se haya estimado procedente el recurso</w:t>
      </w:r>
    </w:p>
    <w:p w14:paraId="6D93A42B" w14:textId="0996A641" w:rsidR="00E321AE" w:rsidRDefault="00E321AE" w:rsidP="0078525D">
      <w:r>
        <w:t xml:space="preserve">La </w:t>
      </w:r>
      <w:r w:rsidRPr="0023593B">
        <w:rPr>
          <w:b/>
          <w:bCs/>
        </w:rPr>
        <w:t>jurisprudencia constante de la Corte IDH ha señalado que</w:t>
      </w:r>
      <w:r>
        <w:t xml:space="preserve">: En los términos del artículo 25 de la CADH, es posible identificar dos obligaciones específicas que recaen en los Estados. Así, la </w:t>
      </w:r>
      <w:r w:rsidRPr="0023593B">
        <w:rPr>
          <w:b/>
          <w:bCs/>
        </w:rPr>
        <w:t>primera obligación</w:t>
      </w:r>
      <w:r>
        <w:t xml:space="preserve"> consiste en consagrar normativamente y asegurar la debida aplicación de recursos efectivos ante las autoridades competentes que amparen a todas las personas bajo su jurisdicción contra actos que violen sus derechos fundamentales o que conlleven la determinación de los derechos y obligaciones de estas. </w:t>
      </w:r>
      <w:r w:rsidRPr="0023593B">
        <w:rPr>
          <w:b/>
          <w:bCs/>
        </w:rPr>
        <w:t>La segunda</w:t>
      </w:r>
      <w:r>
        <w:t xml:space="preserve">, garantizar los medios para ejecutar las respectivas decisiones y sentencias definitivas emitidas por tales autoridades competentes, de manera que se protejan efectivamente los derechos declarados o reconocidos. </w:t>
      </w:r>
    </w:p>
    <w:p w14:paraId="7E419AC0" w14:textId="0282988E" w:rsidR="0023593B" w:rsidRDefault="0023593B" w:rsidP="0078525D">
      <w:r>
        <w:t xml:space="preserve">En este sentido, se sostuvo que la garantía de un recurso efectivo “constituye uno de los pilares básicos, no solo de la CADH, sino del propio Estado de Derecho en una sociedad democrática”, y que para que el Estado cumpla con lo dispuesto en el artículo 25 del tratado no basta con que los recursos existan formalmente, sino que deben tener efectividad, es decir, debe brindarse a la persona la posibilidad real de interponer un recurso que sea sencillo y rápido. Cualquier norma o medida que impida o dificulte hacer uso del recurso de que se trata constituye una violación del derecho al acceso a la justicia. </w:t>
      </w:r>
    </w:p>
    <w:p w14:paraId="4AE0F034" w14:textId="0BD8C4ED" w:rsidR="0023593B" w:rsidRPr="00A07E0C" w:rsidRDefault="0023593B" w:rsidP="0078525D">
      <w:r>
        <w:t>Tradicionalmente, se ha asociado esta norma al amparo y habeas corpus, precisamente por su tramitación sencilla y rápida destinada a obtener una respuesta pronta y efectiva para hacer cesar una vulneración de derechos o acceder a ellos.</w:t>
      </w:r>
    </w:p>
    <w:sectPr w:rsidR="0023593B" w:rsidRPr="00A07E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B30317"/>
    <w:multiLevelType w:val="hybridMultilevel"/>
    <w:tmpl w:val="9EEEA5F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219152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47"/>
    <w:rsid w:val="0023593B"/>
    <w:rsid w:val="00320A11"/>
    <w:rsid w:val="00380EAC"/>
    <w:rsid w:val="003F6688"/>
    <w:rsid w:val="005C7F47"/>
    <w:rsid w:val="00617636"/>
    <w:rsid w:val="00694E04"/>
    <w:rsid w:val="006A2C94"/>
    <w:rsid w:val="0078525D"/>
    <w:rsid w:val="00912F5D"/>
    <w:rsid w:val="00A07E0C"/>
    <w:rsid w:val="00A97E57"/>
    <w:rsid w:val="00AD4D2D"/>
    <w:rsid w:val="00CC3FFD"/>
    <w:rsid w:val="00CD5869"/>
    <w:rsid w:val="00E005C0"/>
    <w:rsid w:val="00E321AE"/>
    <w:rsid w:val="00FB4B3B"/>
    <w:rsid w:val="00FE11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6989C70D"/>
  <w15:chartTrackingRefBased/>
  <w15:docId w15:val="{D7D3DC1E-49BD-874A-B7B1-40F25D99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5C7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C7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C7F4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C7F4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C7F4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C7F4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7F4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7F4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7F4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7F47"/>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5C7F47"/>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5C7F47"/>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5C7F47"/>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5C7F47"/>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5C7F47"/>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5C7F47"/>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5C7F47"/>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5C7F47"/>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5C7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7F47"/>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5C7F4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7F47"/>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5C7F47"/>
    <w:pPr>
      <w:spacing w:before="160"/>
      <w:jc w:val="center"/>
    </w:pPr>
    <w:rPr>
      <w:i/>
      <w:iCs/>
      <w:color w:val="404040" w:themeColor="text1" w:themeTint="BF"/>
    </w:rPr>
  </w:style>
  <w:style w:type="character" w:customStyle="1" w:styleId="CitaCar">
    <w:name w:val="Cita Car"/>
    <w:basedOn w:val="Fuentedeprrafopredeter"/>
    <w:link w:val="Cita"/>
    <w:uiPriority w:val="29"/>
    <w:rsid w:val="005C7F47"/>
    <w:rPr>
      <w:i/>
      <w:iCs/>
      <w:color w:val="404040" w:themeColor="text1" w:themeTint="BF"/>
      <w:lang w:val="es-ES"/>
    </w:rPr>
  </w:style>
  <w:style w:type="paragraph" w:styleId="Prrafodelista">
    <w:name w:val="List Paragraph"/>
    <w:basedOn w:val="Normal"/>
    <w:uiPriority w:val="34"/>
    <w:qFormat/>
    <w:rsid w:val="005C7F47"/>
    <w:pPr>
      <w:ind w:left="720"/>
      <w:contextualSpacing/>
    </w:pPr>
  </w:style>
  <w:style w:type="character" w:styleId="nfasisintenso">
    <w:name w:val="Intense Emphasis"/>
    <w:basedOn w:val="Fuentedeprrafopredeter"/>
    <w:uiPriority w:val="21"/>
    <w:qFormat/>
    <w:rsid w:val="005C7F47"/>
    <w:rPr>
      <w:i/>
      <w:iCs/>
      <w:color w:val="0F4761" w:themeColor="accent1" w:themeShade="BF"/>
    </w:rPr>
  </w:style>
  <w:style w:type="paragraph" w:styleId="Citadestacada">
    <w:name w:val="Intense Quote"/>
    <w:basedOn w:val="Normal"/>
    <w:next w:val="Normal"/>
    <w:link w:val="CitadestacadaCar"/>
    <w:uiPriority w:val="30"/>
    <w:qFormat/>
    <w:rsid w:val="005C7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C7F47"/>
    <w:rPr>
      <w:i/>
      <w:iCs/>
      <w:color w:val="0F4761" w:themeColor="accent1" w:themeShade="BF"/>
      <w:lang w:val="es-ES"/>
    </w:rPr>
  </w:style>
  <w:style w:type="character" w:styleId="Referenciaintensa">
    <w:name w:val="Intense Reference"/>
    <w:basedOn w:val="Fuentedeprrafopredeter"/>
    <w:uiPriority w:val="32"/>
    <w:qFormat/>
    <w:rsid w:val="005C7F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6</Pages>
  <Words>2082</Words>
  <Characters>11452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2026-08-12T21:43:00Z</dcterms:created>
  <dcterms:modified xsi:type="dcterms:W3CDTF">2026-08-18T16:09:00Z</dcterms:modified>
</cp:coreProperties>
</file>