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F6146" w14:textId="534C820A" w:rsidR="00BA525F" w:rsidRDefault="00C96D69" w:rsidP="00CA5E89">
      <w:pPr>
        <w:jc w:val="both"/>
        <w:rPr>
          <w:b/>
          <w:bCs/>
          <w:u w:val="single"/>
        </w:rPr>
      </w:pPr>
      <w:r w:rsidRPr="00C96D69">
        <w:rPr>
          <w:b/>
          <w:bCs/>
          <w:u w:val="single"/>
        </w:rPr>
        <w:t>El derecho internacional de los derechos humanos y su relación con otras materias.</w:t>
      </w:r>
    </w:p>
    <w:p w14:paraId="56F249B8" w14:textId="6998B589" w:rsidR="00C96D69" w:rsidRDefault="00C96D69" w:rsidP="00CA5E89">
      <w:pPr>
        <w:jc w:val="both"/>
      </w:pPr>
      <w:r>
        <w:t xml:space="preserve">Tal es la </w:t>
      </w:r>
      <w:r w:rsidR="00CA5E89">
        <w:t>trascendencia</w:t>
      </w:r>
      <w:r>
        <w:t xml:space="preserve"> de los derechos humanos, que vamos a ver cómo se vincula con muchas otras ramas o con distintas materias.</w:t>
      </w:r>
    </w:p>
    <w:p w14:paraId="7837B7F2" w14:textId="58CF8E4C" w:rsidR="00C96D69" w:rsidRDefault="00C96D69" w:rsidP="00CA5E89">
      <w:pPr>
        <w:jc w:val="both"/>
        <w:rPr>
          <w:b/>
          <w:bCs/>
          <w:u w:val="single"/>
        </w:rPr>
      </w:pPr>
      <w:r w:rsidRPr="00C96D69">
        <w:rPr>
          <w:b/>
          <w:bCs/>
          <w:u w:val="single"/>
        </w:rPr>
        <w:t>Relaciones con el DIP (derecho internacional privado).</w:t>
      </w:r>
    </w:p>
    <w:p w14:paraId="78BAE34C" w14:textId="5EFB47D7" w:rsidR="00C96D69" w:rsidRDefault="00C96D69" w:rsidP="00CA5E89">
      <w:pPr>
        <w:jc w:val="both"/>
      </w:pPr>
      <w:r>
        <w:t>En principio podemos mencionar como comparte con este sus fuentes (los tratados, la costumbre y los principios generales reconocidos por las naciones civilizadas).</w:t>
      </w:r>
    </w:p>
    <w:p w14:paraId="3F5DECF3" w14:textId="40B6D3D4" w:rsidR="00C96D69" w:rsidRDefault="00C96D69" w:rsidP="00CA5E89">
      <w:pPr>
        <w:jc w:val="both"/>
      </w:pPr>
      <w:r>
        <w:t>Además, existen muchas normas surgidas de principios generales de derecho que han transitado de una materia a otra prácticamente sin mutaciones. Ejemplo, el principio de agotamiento de los recursos internos antes de acudir a la instancia internacional, la interpretación de buena fe de los tratados, etc.</w:t>
      </w:r>
    </w:p>
    <w:p w14:paraId="48BCF683" w14:textId="178806CB" w:rsidR="00C96D69" w:rsidRDefault="00C96D69" w:rsidP="00CA5E89">
      <w:pPr>
        <w:jc w:val="both"/>
        <w:rPr>
          <w:b/>
          <w:bCs/>
          <w:u w:val="single"/>
        </w:rPr>
      </w:pPr>
      <w:r w:rsidRPr="00C96D69">
        <w:rPr>
          <w:b/>
          <w:bCs/>
          <w:u w:val="single"/>
        </w:rPr>
        <w:t>Relación con el derecho constitucional.</w:t>
      </w:r>
    </w:p>
    <w:p w14:paraId="4E646B4D" w14:textId="41F9AA29" w:rsidR="00C96D69" w:rsidRDefault="00C96D69" w:rsidP="00CA5E89">
      <w:pPr>
        <w:jc w:val="both"/>
      </w:pPr>
      <w:r>
        <w:t xml:space="preserve">Con el derecho constitucional se produce, en cierto modo, una superposición que ha llevado a algunos a </w:t>
      </w:r>
      <w:r w:rsidR="008F4988">
        <w:t>opinar</w:t>
      </w:r>
      <w:r>
        <w:t xml:space="preserve"> que existe un derecho constitucional de los derechos </w:t>
      </w:r>
      <w:r w:rsidR="008F4988">
        <w:t>humanos</w:t>
      </w:r>
      <w:r>
        <w:t xml:space="preserve">. No obstante, consideramos que existen diferencias notorias entre ambos, puesto que el derecho constitucional protege los derechos de las personas físicas y de las personas jurídicas, mientras que los derechos humanos se ocupan solo del individuo como sujeto protegido. </w:t>
      </w:r>
    </w:p>
    <w:p w14:paraId="02649042" w14:textId="2425CDF1" w:rsidR="008F4988" w:rsidRDefault="008F4988" w:rsidP="00CA5E89">
      <w:pPr>
        <w:jc w:val="both"/>
      </w:pPr>
      <w:r>
        <w:t>Además, los derechos protegidos en las constituciones pueden ser invocados frente a otros particulares (sean personas físicas o jurídicas) o frente al Estado, en tanto que el Derecho Internacional de los Derechos Humanos solo se reclama al Estado por sus propios actos y solo indirectamente por actos de otros particulares (en aquellos casos en que el Estado no actuó en debida forma para proveer a una reparación de la violación perpetrada por otro particular).</w:t>
      </w:r>
    </w:p>
    <w:p w14:paraId="25506732" w14:textId="77777777" w:rsidR="005D4B93" w:rsidRDefault="008F4988" w:rsidP="00CA5E89">
      <w:pPr>
        <w:jc w:val="both"/>
      </w:pPr>
      <w:r>
        <w:t>Con base a ciertas diferencias creemos necesario reservar el término “derechos fundamentales”</w:t>
      </w:r>
      <w:r w:rsidR="005D4B93">
        <w:t xml:space="preserve"> para los protegidos en las constituciones y “derechos humanos” para los protegidos internacionalmente. </w:t>
      </w:r>
    </w:p>
    <w:p w14:paraId="7A2405B3" w14:textId="124F719E" w:rsidR="008F4988" w:rsidRDefault="005D4B93" w:rsidP="00CA5E89">
      <w:pPr>
        <w:jc w:val="both"/>
      </w:pPr>
      <w:r>
        <w:t xml:space="preserve"> </w:t>
      </w:r>
      <w:r>
        <w:rPr>
          <w:rFonts w:ascii="flecja" w:hAnsi="flecja"/>
        </w:rPr>
        <w:t xml:space="preserve"> </w:t>
      </w:r>
      <w:r>
        <w:sym w:font="Symbol" w:char="F020"/>
      </w:r>
      <w:r>
        <w:sym w:font="Symbol" w:char="F0AE"/>
      </w:r>
      <w:r>
        <w:t xml:space="preserve"> “</w:t>
      </w:r>
      <w:r w:rsidRPr="005D4B93">
        <w:rPr>
          <w:b/>
          <w:bCs/>
        </w:rPr>
        <w:t>fundamentales</w:t>
      </w:r>
      <w:r>
        <w:t>” se relaciona estrechamente con su carácter de derechos reconocidos por normas internas, puesto que remite a la idea de que, para esa sociedad organizada en Estado, tales derechos se consideran la base de la organización política.</w:t>
      </w:r>
    </w:p>
    <w:p w14:paraId="50E3E087" w14:textId="2E19FCD8" w:rsidR="005D4B93" w:rsidRDefault="005D4B93" w:rsidP="00CA5E89">
      <w:pPr>
        <w:jc w:val="both"/>
      </w:pPr>
      <w:r>
        <w:sym w:font="Symbol" w:char="F0AE"/>
      </w:r>
      <w:r>
        <w:t xml:space="preserve"> Asimismo, el adjetivo “</w:t>
      </w:r>
      <w:r w:rsidRPr="005D4B93">
        <w:rPr>
          <w:b/>
          <w:bCs/>
        </w:rPr>
        <w:t>fundamentales</w:t>
      </w:r>
      <w:r>
        <w:t xml:space="preserve">” acota la lista de derechos contenidos en tal concepto, lo cual coincide con la circunstancia de tratarse de derechos </w:t>
      </w:r>
      <w:r w:rsidR="00C81625">
        <w:t>=</w:t>
      </w:r>
      <w:r>
        <w:t xml:space="preserve">positivizados </w:t>
      </w:r>
      <w:r>
        <w:lastRenderedPageBreak/>
        <w:t xml:space="preserve">y los distingue del trasfondo de “derechos naturales” que tienen los derechos humanos. </w:t>
      </w:r>
    </w:p>
    <w:p w14:paraId="0789B6A8" w14:textId="3605AF8E" w:rsidR="005D4B93" w:rsidRDefault="005D4B93" w:rsidP="00CA5E89">
      <w:pPr>
        <w:jc w:val="both"/>
      </w:pPr>
      <w:r>
        <w:t xml:space="preserve">Pero esta distinción terminológica no puede hacernos perder de vista que el obligado primario y principal de proteger los Derechos Humanos es el Estado y que solo cuando este no cumple esa misión entra en juego la comunidad internacional. Dicha obligación primaria de proteger los Derechos Humanos la lleva a cabo fundamentalmente la Constitución de cada Estado y el resto de su legislación. </w:t>
      </w:r>
    </w:p>
    <w:p w14:paraId="2786A600" w14:textId="77777777" w:rsidR="00C81625" w:rsidRDefault="00C81625" w:rsidP="00CA5E89">
      <w:pPr>
        <w:jc w:val="both"/>
      </w:pPr>
    </w:p>
    <w:p w14:paraId="2ADB5596" w14:textId="294D4847" w:rsidR="00B25E38" w:rsidRDefault="00B25E38" w:rsidP="00CA5E89">
      <w:pPr>
        <w:jc w:val="both"/>
      </w:pPr>
      <w:r>
        <w:t xml:space="preserve">Dicho esto, podemos ver la pluralidad de normas que protegen los derechos del ser humano. Las normas del derecho constitucional, junto con las normas del derecho internacional, protegen los derechos humanos. En esa conjunción es que se sitúa nuestra materia, para cuyo estudio es importante analizar los institutos de forma amplia y en conjunto de </w:t>
      </w:r>
      <w:r w:rsidR="00F8249A">
        <w:t>demás institutos que se encuentren vinculados</w:t>
      </w:r>
      <w:r>
        <w:t xml:space="preserve">. </w:t>
      </w:r>
    </w:p>
    <w:p w14:paraId="224212D6" w14:textId="3FFAD5E4" w:rsidR="00F8249A" w:rsidRPr="00F8249A" w:rsidRDefault="00F8249A" w:rsidP="00CA5E89">
      <w:pPr>
        <w:jc w:val="both"/>
        <w:rPr>
          <w:b/>
          <w:bCs/>
          <w:u w:val="single"/>
        </w:rPr>
      </w:pPr>
      <w:r w:rsidRPr="00F8249A">
        <w:rPr>
          <w:b/>
          <w:bCs/>
          <w:u w:val="single"/>
        </w:rPr>
        <w:t>Relaciones con el derecho internacional humanitario.</w:t>
      </w:r>
    </w:p>
    <w:p w14:paraId="38D268CA" w14:textId="2B8AAC71" w:rsidR="00F8249A" w:rsidRDefault="00F8249A" w:rsidP="00CA5E89">
      <w:pPr>
        <w:jc w:val="both"/>
      </w:pPr>
      <w:r>
        <w:t xml:space="preserve">Al efecto del análisis, expondremos similitudes, la interacción, las diferencias y posibles colisiones entre ambos sistemas. </w:t>
      </w:r>
    </w:p>
    <w:p w14:paraId="4199DE06" w14:textId="03A7F26B" w:rsidR="00F8249A" w:rsidRDefault="00F8249A" w:rsidP="00CA5E89">
      <w:pPr>
        <w:jc w:val="both"/>
      </w:pPr>
      <w:r>
        <w:t>Se entiende al Derecho Internacional Humanitario como “el cuerpo de normas internacionales, de origen convencional o consuetudinario, destinado a ser aplicable en los conflictos armados nacionales e internacionales, que limita el derecho de las partes en conflicto a elegir los métodos utilizados en la guerra y protege a las personas y bienes afectados por ella.”</w:t>
      </w:r>
    </w:p>
    <w:p w14:paraId="238EEF48" w14:textId="4EB1BD6F" w:rsidR="00F8249A" w:rsidRDefault="00F8249A" w:rsidP="00CA5E89">
      <w:pPr>
        <w:jc w:val="both"/>
      </w:pPr>
      <w:r>
        <w:t>El cuerpo principal de normas del Derecho internacional Humanitario, son las cuatro Convenciones de Ginebra de 1949 que codifican la mayoría de las normas vigentes en la materia:</w:t>
      </w:r>
    </w:p>
    <w:p w14:paraId="5BC5DCBA" w14:textId="3FBF2484" w:rsidR="00F8249A" w:rsidRDefault="00F8249A" w:rsidP="00CA5E89">
      <w:pPr>
        <w:pStyle w:val="Prrafodelista"/>
        <w:numPr>
          <w:ilvl w:val="0"/>
          <w:numId w:val="1"/>
        </w:numPr>
        <w:jc w:val="both"/>
      </w:pPr>
      <w:r>
        <w:t>Convenio para aliviar la suerte de los heridos y enfermos de las fuerzas armadas en campaña;</w:t>
      </w:r>
    </w:p>
    <w:p w14:paraId="551D1469" w14:textId="514024B3" w:rsidR="00F8249A" w:rsidRDefault="00F8249A" w:rsidP="00CA5E89">
      <w:pPr>
        <w:pStyle w:val="Prrafodelista"/>
        <w:numPr>
          <w:ilvl w:val="0"/>
          <w:numId w:val="1"/>
        </w:numPr>
        <w:jc w:val="both"/>
      </w:pPr>
      <w:r>
        <w:t>Convenio para aliviar la suerte de los heridos, enfermos y náufragos de las fuerzas armadas en el mar;</w:t>
      </w:r>
    </w:p>
    <w:p w14:paraId="5CD3A48B" w14:textId="3F0CD891" w:rsidR="00F8249A" w:rsidRDefault="00F8249A" w:rsidP="00CA5E89">
      <w:pPr>
        <w:pStyle w:val="Prrafodelista"/>
        <w:numPr>
          <w:ilvl w:val="0"/>
          <w:numId w:val="1"/>
        </w:numPr>
        <w:jc w:val="both"/>
      </w:pPr>
      <w:r>
        <w:t>Convenio sobre el trato de los prisioneros en guerra;</w:t>
      </w:r>
    </w:p>
    <w:p w14:paraId="3D52B455" w14:textId="0FB743D5" w:rsidR="00F8249A" w:rsidRDefault="00F8249A" w:rsidP="00CA5E89">
      <w:pPr>
        <w:pStyle w:val="Prrafodelista"/>
        <w:numPr>
          <w:ilvl w:val="0"/>
          <w:numId w:val="1"/>
        </w:numPr>
        <w:jc w:val="both"/>
      </w:pPr>
      <w:r>
        <w:t>Convenio sobre la protección de personas civiles en tiempo de guerra. Dichas convenciones han recibido un gran número de ratificaciones, lo que les hace tener un alcance casi universal, sin perjuicio de que las normas que codificaron costumbres generales ya vigentes si tienen alcance universal.</w:t>
      </w:r>
    </w:p>
    <w:p w14:paraId="39A7AA70" w14:textId="35382333" w:rsidR="00F8249A" w:rsidRDefault="00F8249A" w:rsidP="00CA5E89">
      <w:pPr>
        <w:jc w:val="both"/>
      </w:pPr>
      <w:r>
        <w:lastRenderedPageBreak/>
        <w:t xml:space="preserve">A ello debemos agregar los </w:t>
      </w:r>
      <w:r w:rsidRPr="00F8249A">
        <w:rPr>
          <w:b/>
          <w:bCs/>
        </w:rPr>
        <w:t>protocolos adicionales de 1977</w:t>
      </w:r>
      <w:r>
        <w:t xml:space="preserve">: el protocolo I protege a las víctimas de los conflictos armados internacionales, mientras que el protocolo II está referido a las víctimas de los conflictos armados de carácter interno. </w:t>
      </w:r>
    </w:p>
    <w:p w14:paraId="53595243" w14:textId="4A8570F7" w:rsidR="00F8249A" w:rsidRDefault="00F8249A" w:rsidP="00CA5E89">
      <w:pPr>
        <w:jc w:val="both"/>
      </w:pPr>
      <w:r>
        <w:t>El art</w:t>
      </w:r>
      <w:r w:rsidR="00EE5939">
        <w:t>í</w:t>
      </w:r>
      <w:r>
        <w:t>culo 3, común en los cuatro Convenios de Ginebra de 1949</w:t>
      </w:r>
      <w:r w:rsidR="00881C99">
        <w:t>, impone la obligación de respetar a las personas humanas en caso de conflicto armado internacional o interno. Este articulo prohíbe: los atentados contra la vida y la integridad personal, especialmente el homicidio en todas sus formas; las mutilaciones, los tratos crueles, la tortura y los suplicios; la toma de rehenes; los atentados contra la dignidad personal (tratos humillantes y degradantes); las condenas dictadas y las ejecuciones sin previo juicio ante tribunales legítimamente constituidos con garantías judiciales reconocidas como indispensables por los pueblos civilizados; la asistencia a los heridos y a los enfermos, etc.</w:t>
      </w:r>
    </w:p>
    <w:p w14:paraId="55CB9704" w14:textId="06CCD90A" w:rsidR="00881C99" w:rsidRDefault="00881C99" w:rsidP="00CA5E89">
      <w:pPr>
        <w:jc w:val="both"/>
      </w:pPr>
      <w:r>
        <w:t xml:space="preserve">Asimismo, prevé que “cualquier organismo humanitario imparcial, tal como el Comité Internacional de la Cruz Roja” podrá ofrecer sus servicios a las partes en conflicto. </w:t>
      </w:r>
    </w:p>
    <w:p w14:paraId="075ACEE1" w14:textId="79E7872E" w:rsidR="00881C99" w:rsidRDefault="00881C99" w:rsidP="00CA5E89">
      <w:pPr>
        <w:jc w:val="both"/>
      </w:pPr>
      <w:r>
        <w:t>Dicho comité cumple una importante labor en el desarrollo progresivo de la materia y en velar por la vigencia real de sus normas. Fue creado en 186</w:t>
      </w:r>
      <w:r w:rsidR="00EE5939">
        <w:t>3</w:t>
      </w:r>
      <w:r>
        <w:t xml:space="preserve"> y tiene el carácter de ONG, no obstante, lo cual ha tenido reconocimiento universal y está regido por los principios de imparcialidad, neutralidad e independencia que caracterizan a los organismos internacionales, habiendo recibido en varias oportunidades el Premio Nobel de la Paz.</w:t>
      </w:r>
    </w:p>
    <w:p w14:paraId="66CB0D71" w14:textId="01B1959A" w:rsidR="00881C99" w:rsidRDefault="00881C99" w:rsidP="00CA5E89">
      <w:pPr>
        <w:jc w:val="both"/>
        <w:rPr>
          <w:u w:val="single"/>
        </w:rPr>
      </w:pPr>
      <w:r w:rsidRPr="00881C99">
        <w:rPr>
          <w:u w:val="single"/>
        </w:rPr>
        <w:t>Similitudes entre el derecho internacional humano y el derecho humanitario:</w:t>
      </w:r>
    </w:p>
    <w:p w14:paraId="555CC806" w14:textId="19EBDD74" w:rsidR="00881C99" w:rsidRDefault="00881C99" w:rsidP="00CA5E89">
      <w:pPr>
        <w:jc w:val="both"/>
        <w:rPr>
          <w:u w:val="single"/>
        </w:rPr>
      </w:pPr>
      <w:r>
        <w:rPr>
          <w:u w:val="single"/>
        </w:rPr>
        <w:t>La primera similitu</w:t>
      </w:r>
      <w:r w:rsidR="00A45A82">
        <w:rPr>
          <w:u w:val="single"/>
        </w:rPr>
        <w:t>d entre ambas materias está dada, como se anticipó, en su origen común, y en la circunstancia de compartir fuentes, es decir, los mecanismos de creación de sus normas: tratados, costumbres y principios generales de derecho reconocidos por las naciones civilizadas.</w:t>
      </w:r>
    </w:p>
    <w:p w14:paraId="63750C07" w14:textId="6A9C9C25" w:rsidR="00A45A82" w:rsidRDefault="00A45A82" w:rsidP="00CA5E89">
      <w:pPr>
        <w:jc w:val="both"/>
      </w:pPr>
      <w:r>
        <w:t xml:space="preserve">Pero no solo los mecanismos de creación de normas son similares, sino que también comparten entre sí, y con el derecho internacional en general, ciertas normas fundamentales, como expresamos antes, ejemplo, la obligación de cumplir con lo pactado (principio de pacta sunt servanda), la interpretación de buena fe de los tratados internacionales, la obligación de cooperar entre los Estados, la obligación de solucionar las controversias por medios pacíficos, etc. </w:t>
      </w:r>
    </w:p>
    <w:p w14:paraId="685BF57C" w14:textId="68DCBEDB" w:rsidR="00A45A82" w:rsidRDefault="00A45A82" w:rsidP="00CA5E89">
      <w:pPr>
        <w:jc w:val="both"/>
      </w:pPr>
      <w:r>
        <w:t xml:space="preserve">También comparten entre si preocupación por el ser humano, que aparece como principal destinatario en ambos sistemas. Como consecuencia de ello, las normas de ambos se aplican directamente al individuo, sin necesidad de que otra norma de derecho interno las recepte o transforme para tener vigencia. </w:t>
      </w:r>
    </w:p>
    <w:p w14:paraId="541C2BA9" w14:textId="11AFDE80" w:rsidR="00A45A82" w:rsidRDefault="00A45A82" w:rsidP="00CA5E89">
      <w:pPr>
        <w:jc w:val="both"/>
        <w:rPr>
          <w:u w:val="single"/>
        </w:rPr>
      </w:pPr>
      <w:r w:rsidRPr="00A45A82">
        <w:rPr>
          <w:u w:val="single"/>
        </w:rPr>
        <w:lastRenderedPageBreak/>
        <w:t>Diferencias entre ambos sistemas:</w:t>
      </w:r>
    </w:p>
    <w:p w14:paraId="0EF15EEF" w14:textId="4B6CA81F" w:rsidR="00A45A82" w:rsidRDefault="00B17E78" w:rsidP="00CA5E89">
      <w:pPr>
        <w:pStyle w:val="Prrafodelista"/>
        <w:numPr>
          <w:ilvl w:val="0"/>
          <w:numId w:val="1"/>
        </w:numPr>
        <w:jc w:val="both"/>
        <w:rPr>
          <w:u w:val="single"/>
        </w:rPr>
      </w:pPr>
      <w:r>
        <w:rPr>
          <w:u w:val="single"/>
        </w:rPr>
        <w:t>El derecho internacional humanitario, tuvo su primer antecedente de relevancia, en cuanto a su codificación, en el Convenio de Ginebra de 1864, sobre el tratamiento de heridos, enfermos y personal sanitario, mientras que el Derecho Internacional de los Derechos Humanos, comienza su desarrollo en 1945 con la Carta de la ONU.</w:t>
      </w:r>
    </w:p>
    <w:p w14:paraId="4FA0F902" w14:textId="58DBDF8F" w:rsidR="00B17E78" w:rsidRDefault="00B17E78" w:rsidP="00CA5E89">
      <w:pPr>
        <w:pStyle w:val="Prrafodelista"/>
        <w:numPr>
          <w:ilvl w:val="0"/>
          <w:numId w:val="1"/>
        </w:numPr>
        <w:jc w:val="both"/>
        <w:rPr>
          <w:u w:val="single"/>
        </w:rPr>
      </w:pPr>
      <w:r>
        <w:rPr>
          <w:u w:val="single"/>
        </w:rPr>
        <w:t xml:space="preserve">El derecho internacional de los Derechos Humanos se aplica siempre en tiempos de paz y en casos de conflicto armado, porque aun cuando la paz es un presupuesto de plena vigencia de los derechos humanos, muchas de sus normas se siguen aplicando en situaciones de conflicto armado. Mientras tanto, las normas del Derecho Humanitario se encuentran sometidas a condición suspensiva, dado que solo se aplicarán en caso de conflicto armado. </w:t>
      </w:r>
    </w:p>
    <w:p w14:paraId="05EC9EE1" w14:textId="6D2F8747" w:rsidR="00B17E78" w:rsidRDefault="00B17E78" w:rsidP="00CA5E89">
      <w:pPr>
        <w:jc w:val="both"/>
      </w:pPr>
      <w:r>
        <w:t>No obstante, lo expresado en el punto anterior, hay derechos humanos que pueden suspenderse en Estados de emergencia, mientras que los derechos que surgen del derecho humanitario para los individuos no pueden suspenderse.</w:t>
      </w:r>
    </w:p>
    <w:p w14:paraId="4DAE54D3" w14:textId="563BDBD9" w:rsidR="00B17E78" w:rsidRDefault="00B17E78" w:rsidP="00CA5E89">
      <w:pPr>
        <w:jc w:val="both"/>
      </w:pPr>
      <w:r>
        <w:t xml:space="preserve">Los sujetos amparados por el Derecho Internacional de los Derechos Humanos son todos los seres humanos, sin distinción, en tanto titulares de tales derechos, por aplicación del principio de universalidad, que constituye uno de los pilares del sistema. Mientras que el derecho humanitario distingue categorías de sujetos protegidos: combatientes, heridos, prisioneros, personal sanitario, etc. </w:t>
      </w:r>
    </w:p>
    <w:p w14:paraId="01A84CA2" w14:textId="2882073C" w:rsidR="00B17E78" w:rsidRDefault="00B17E78" w:rsidP="00CA5E89">
      <w:pPr>
        <w:jc w:val="both"/>
      </w:pPr>
      <w:r>
        <w:t>Dentro del mismo aspecto, es decir, el sujeto protegido, debemos distinguir que los individuos pueden reclamar personal e individualmente por violaciones a los derechos humanos, pero no por violaciones al derecho humanitario, cuyos reclamos solo pueden ser articulados por los Estados. Según esta distinción, podemos decir que los individuos son titulares de los derechos humanos (como legitimados para reclamar internacionalmente), pero simples beneficiarios del derecho humanitario (careciendo de esta legitimación)</w:t>
      </w:r>
      <w:r w:rsidR="003F59AA">
        <w:t>.</w:t>
      </w:r>
    </w:p>
    <w:p w14:paraId="63A208CF" w14:textId="087A7FE8" w:rsidR="003F59AA" w:rsidRDefault="003F59AA" w:rsidP="00CA5E89">
      <w:pPr>
        <w:jc w:val="both"/>
      </w:pPr>
      <w:r>
        <w:t>La violación del Derecho Internacional de los Derechos Humanos genera, en el orden internacional, únicamente responsabilidad del Estado, mientras que la violación de normas de Derecho Humanitario genera, no solo aquella, sino también la responsabilidad internacional de los jerarcas comprometidos, en esas violaciones. Solo la violación de ciertos Derechos Humanos genera, desde 200</w:t>
      </w:r>
      <w:r w:rsidR="00EE5939">
        <w:t>2</w:t>
      </w:r>
      <w:r>
        <w:t>, la responsabilidad personal de los responsables de tales violaciones (además de la responsabilidad del Estado); es el caso de los actos alcanzados por el Estatuto de la Corte Penal Internacional (genocidio, crímenes de guerra, crímenes de lesa humanidad y agresión).</w:t>
      </w:r>
    </w:p>
    <w:p w14:paraId="6D814D79" w14:textId="77777777" w:rsidR="003F59AA" w:rsidRPr="003F59AA" w:rsidRDefault="003F59AA" w:rsidP="00CA5E89">
      <w:pPr>
        <w:jc w:val="both"/>
        <w:rPr>
          <w:b/>
          <w:bCs/>
        </w:rPr>
      </w:pPr>
      <w:r w:rsidRPr="003F59AA">
        <w:rPr>
          <w:b/>
          <w:bCs/>
        </w:rPr>
        <w:lastRenderedPageBreak/>
        <w:t>Cuadro comparativo de lo expresado:</w:t>
      </w:r>
    </w:p>
    <w:tbl>
      <w:tblPr>
        <w:tblStyle w:val="Tablaconcuadrcula"/>
        <w:tblW w:w="0" w:type="auto"/>
        <w:tblLook w:val="04A0" w:firstRow="1" w:lastRow="0" w:firstColumn="1" w:lastColumn="0" w:noHBand="0" w:noVBand="1"/>
      </w:tblPr>
      <w:tblGrid>
        <w:gridCol w:w="2942"/>
        <w:gridCol w:w="2943"/>
        <w:gridCol w:w="2943"/>
      </w:tblGrid>
      <w:tr w:rsidR="003F59AA" w14:paraId="4613116C" w14:textId="77777777" w:rsidTr="003F59AA">
        <w:tc>
          <w:tcPr>
            <w:tcW w:w="2942" w:type="dxa"/>
          </w:tcPr>
          <w:p w14:paraId="2CE23538" w14:textId="77777777" w:rsidR="003F59AA" w:rsidRDefault="003F59AA" w:rsidP="00CA5E89">
            <w:pPr>
              <w:jc w:val="both"/>
              <w:rPr>
                <w:b/>
                <w:bCs/>
              </w:rPr>
            </w:pPr>
          </w:p>
        </w:tc>
        <w:tc>
          <w:tcPr>
            <w:tcW w:w="2943" w:type="dxa"/>
          </w:tcPr>
          <w:p w14:paraId="7D2071C4" w14:textId="6C7BD619" w:rsidR="003F59AA" w:rsidRDefault="003F59AA" w:rsidP="00CA5E89">
            <w:pPr>
              <w:jc w:val="both"/>
              <w:rPr>
                <w:b/>
                <w:bCs/>
              </w:rPr>
            </w:pPr>
            <w:r>
              <w:rPr>
                <w:b/>
                <w:bCs/>
              </w:rPr>
              <w:t>Derechos Humanos</w:t>
            </w:r>
          </w:p>
        </w:tc>
        <w:tc>
          <w:tcPr>
            <w:tcW w:w="2943" w:type="dxa"/>
          </w:tcPr>
          <w:p w14:paraId="60B976E5" w14:textId="5392415E" w:rsidR="003F59AA" w:rsidRDefault="003F59AA" w:rsidP="00CA5E89">
            <w:pPr>
              <w:jc w:val="both"/>
              <w:rPr>
                <w:b/>
                <w:bCs/>
              </w:rPr>
            </w:pPr>
            <w:r>
              <w:rPr>
                <w:b/>
                <w:bCs/>
              </w:rPr>
              <w:t>Derecho Humanitario</w:t>
            </w:r>
          </w:p>
        </w:tc>
      </w:tr>
      <w:tr w:rsidR="003F59AA" w14:paraId="49DF1F8E" w14:textId="77777777" w:rsidTr="003F59AA">
        <w:tc>
          <w:tcPr>
            <w:tcW w:w="2942" w:type="dxa"/>
          </w:tcPr>
          <w:p w14:paraId="64903B17" w14:textId="2B08F184" w:rsidR="003F59AA" w:rsidRDefault="003F59AA" w:rsidP="00CA5E89">
            <w:pPr>
              <w:jc w:val="both"/>
              <w:rPr>
                <w:b/>
                <w:bCs/>
              </w:rPr>
            </w:pPr>
            <w:r>
              <w:rPr>
                <w:b/>
                <w:bCs/>
              </w:rPr>
              <w:t>Nacimiento</w:t>
            </w:r>
          </w:p>
        </w:tc>
        <w:tc>
          <w:tcPr>
            <w:tcW w:w="2943" w:type="dxa"/>
          </w:tcPr>
          <w:p w14:paraId="0C37DFEA" w14:textId="77F43700" w:rsidR="003F59AA" w:rsidRDefault="003F59AA" w:rsidP="00CA5E89">
            <w:pPr>
              <w:jc w:val="both"/>
              <w:rPr>
                <w:b/>
                <w:bCs/>
              </w:rPr>
            </w:pPr>
            <w:r>
              <w:rPr>
                <w:b/>
                <w:bCs/>
              </w:rPr>
              <w:t>1945</w:t>
            </w:r>
          </w:p>
        </w:tc>
        <w:tc>
          <w:tcPr>
            <w:tcW w:w="2943" w:type="dxa"/>
          </w:tcPr>
          <w:p w14:paraId="5695BF77" w14:textId="4D8F08CC" w:rsidR="003F59AA" w:rsidRDefault="003F59AA" w:rsidP="00CA5E89">
            <w:pPr>
              <w:jc w:val="both"/>
              <w:rPr>
                <w:b/>
                <w:bCs/>
              </w:rPr>
            </w:pPr>
            <w:r>
              <w:rPr>
                <w:b/>
                <w:bCs/>
              </w:rPr>
              <w:t>1864</w:t>
            </w:r>
          </w:p>
        </w:tc>
      </w:tr>
      <w:tr w:rsidR="003F59AA" w14:paraId="540EBBD0" w14:textId="77777777" w:rsidTr="003F59AA">
        <w:tc>
          <w:tcPr>
            <w:tcW w:w="2942" w:type="dxa"/>
          </w:tcPr>
          <w:p w14:paraId="0FCA76EF" w14:textId="23C69F6C" w:rsidR="003F59AA" w:rsidRDefault="003F59AA" w:rsidP="00CA5E89">
            <w:pPr>
              <w:jc w:val="both"/>
              <w:rPr>
                <w:b/>
                <w:bCs/>
              </w:rPr>
            </w:pPr>
            <w:r>
              <w:rPr>
                <w:b/>
                <w:bCs/>
              </w:rPr>
              <w:t>Rige</w:t>
            </w:r>
          </w:p>
        </w:tc>
        <w:tc>
          <w:tcPr>
            <w:tcW w:w="2943" w:type="dxa"/>
          </w:tcPr>
          <w:p w14:paraId="65417B53" w14:textId="3E921FA6" w:rsidR="003F59AA" w:rsidRDefault="003F59AA" w:rsidP="00CA5E89">
            <w:pPr>
              <w:jc w:val="both"/>
              <w:rPr>
                <w:b/>
                <w:bCs/>
              </w:rPr>
            </w:pPr>
            <w:r>
              <w:rPr>
                <w:b/>
                <w:bCs/>
              </w:rPr>
              <w:t>Siempre</w:t>
            </w:r>
            <w:r w:rsidR="00CA5E89">
              <w:rPr>
                <w:b/>
                <w:bCs/>
              </w:rPr>
              <w:t xml:space="preserve"> (con la excepción de las restricciones mencionadas)</w:t>
            </w:r>
          </w:p>
        </w:tc>
        <w:tc>
          <w:tcPr>
            <w:tcW w:w="2943" w:type="dxa"/>
          </w:tcPr>
          <w:p w14:paraId="1C250A74" w14:textId="6EE9B792" w:rsidR="003F59AA" w:rsidRDefault="003F59AA" w:rsidP="00CA5E89">
            <w:pPr>
              <w:jc w:val="both"/>
              <w:rPr>
                <w:b/>
                <w:bCs/>
              </w:rPr>
            </w:pPr>
            <w:r>
              <w:rPr>
                <w:b/>
                <w:bCs/>
              </w:rPr>
              <w:t>En estado de guerra o emergencia</w:t>
            </w:r>
          </w:p>
        </w:tc>
      </w:tr>
      <w:tr w:rsidR="003F59AA" w14:paraId="3227E55B" w14:textId="77777777" w:rsidTr="003F59AA">
        <w:tc>
          <w:tcPr>
            <w:tcW w:w="2942" w:type="dxa"/>
          </w:tcPr>
          <w:p w14:paraId="5447F2D4" w14:textId="6C76C026" w:rsidR="003F59AA" w:rsidRDefault="003F59AA" w:rsidP="00CA5E89">
            <w:pPr>
              <w:jc w:val="both"/>
              <w:rPr>
                <w:b/>
                <w:bCs/>
              </w:rPr>
            </w:pPr>
            <w:r>
              <w:rPr>
                <w:b/>
                <w:bCs/>
              </w:rPr>
              <w:t>Aplicación</w:t>
            </w:r>
          </w:p>
        </w:tc>
        <w:tc>
          <w:tcPr>
            <w:tcW w:w="2943" w:type="dxa"/>
          </w:tcPr>
          <w:p w14:paraId="673B87CE" w14:textId="27EDFE8E" w:rsidR="003F59AA" w:rsidRDefault="003F59AA" w:rsidP="00CA5E89">
            <w:pPr>
              <w:jc w:val="both"/>
              <w:rPr>
                <w:b/>
                <w:bCs/>
              </w:rPr>
            </w:pPr>
            <w:r>
              <w:rPr>
                <w:b/>
                <w:bCs/>
              </w:rPr>
              <w:t>Subsidiaria</w:t>
            </w:r>
            <w:r w:rsidR="00CA5E89">
              <w:rPr>
                <w:b/>
                <w:bCs/>
              </w:rPr>
              <w:t xml:space="preserve"> (requiere agotamiento de la vía interna)</w:t>
            </w:r>
          </w:p>
        </w:tc>
        <w:tc>
          <w:tcPr>
            <w:tcW w:w="2943" w:type="dxa"/>
          </w:tcPr>
          <w:p w14:paraId="71D5CD0A" w14:textId="408E7AF7" w:rsidR="003F59AA" w:rsidRDefault="003F59AA" w:rsidP="00CA5E89">
            <w:pPr>
              <w:jc w:val="both"/>
              <w:rPr>
                <w:b/>
                <w:bCs/>
              </w:rPr>
            </w:pPr>
            <w:r>
              <w:rPr>
                <w:b/>
                <w:bCs/>
              </w:rPr>
              <w:t>Directa</w:t>
            </w:r>
          </w:p>
        </w:tc>
      </w:tr>
      <w:tr w:rsidR="003F59AA" w14:paraId="05C623AD" w14:textId="77777777" w:rsidTr="003F59AA">
        <w:tc>
          <w:tcPr>
            <w:tcW w:w="2942" w:type="dxa"/>
          </w:tcPr>
          <w:p w14:paraId="3F969D1D" w14:textId="157E8C76" w:rsidR="003F59AA" w:rsidRDefault="003F59AA" w:rsidP="00CA5E89">
            <w:pPr>
              <w:jc w:val="both"/>
              <w:rPr>
                <w:b/>
                <w:bCs/>
              </w:rPr>
            </w:pPr>
            <w:r>
              <w:rPr>
                <w:b/>
                <w:bCs/>
              </w:rPr>
              <w:t>Protegidos</w:t>
            </w:r>
          </w:p>
        </w:tc>
        <w:tc>
          <w:tcPr>
            <w:tcW w:w="2943" w:type="dxa"/>
          </w:tcPr>
          <w:p w14:paraId="10163F33" w14:textId="6A1685F0" w:rsidR="003F59AA" w:rsidRDefault="003F59AA" w:rsidP="00CA5E89">
            <w:pPr>
              <w:jc w:val="both"/>
              <w:rPr>
                <w:b/>
                <w:bCs/>
              </w:rPr>
            </w:pPr>
            <w:r>
              <w:rPr>
                <w:b/>
                <w:bCs/>
              </w:rPr>
              <w:t>Todos los seres humanos</w:t>
            </w:r>
          </w:p>
        </w:tc>
        <w:tc>
          <w:tcPr>
            <w:tcW w:w="2943" w:type="dxa"/>
          </w:tcPr>
          <w:p w14:paraId="40833CF4" w14:textId="206E3E8C" w:rsidR="003F59AA" w:rsidRDefault="005D6540" w:rsidP="00CA5E89">
            <w:pPr>
              <w:jc w:val="both"/>
              <w:rPr>
                <w:b/>
                <w:bCs/>
              </w:rPr>
            </w:pPr>
            <w:r>
              <w:rPr>
                <w:b/>
                <w:bCs/>
              </w:rPr>
              <w:t>Combatientes, heridos, prisioneros</w:t>
            </w:r>
          </w:p>
        </w:tc>
      </w:tr>
      <w:tr w:rsidR="003F59AA" w14:paraId="2C3F1C80" w14:textId="77777777" w:rsidTr="003F59AA">
        <w:tc>
          <w:tcPr>
            <w:tcW w:w="2942" w:type="dxa"/>
          </w:tcPr>
          <w:p w14:paraId="1D535ED2" w14:textId="2AB197A0" w:rsidR="003F59AA" w:rsidRDefault="005D6540" w:rsidP="00CA5E89">
            <w:pPr>
              <w:jc w:val="both"/>
              <w:rPr>
                <w:b/>
                <w:bCs/>
              </w:rPr>
            </w:pPr>
            <w:r>
              <w:rPr>
                <w:b/>
                <w:bCs/>
              </w:rPr>
              <w:t>Legitimados</w:t>
            </w:r>
          </w:p>
        </w:tc>
        <w:tc>
          <w:tcPr>
            <w:tcW w:w="2943" w:type="dxa"/>
          </w:tcPr>
          <w:p w14:paraId="22694FE5" w14:textId="53939ADA" w:rsidR="003F59AA" w:rsidRDefault="005D6540" w:rsidP="00CA5E89">
            <w:pPr>
              <w:jc w:val="both"/>
              <w:rPr>
                <w:b/>
                <w:bCs/>
              </w:rPr>
            </w:pPr>
            <w:r>
              <w:rPr>
                <w:b/>
                <w:bCs/>
              </w:rPr>
              <w:t>Las personas físicas</w:t>
            </w:r>
          </w:p>
        </w:tc>
        <w:tc>
          <w:tcPr>
            <w:tcW w:w="2943" w:type="dxa"/>
          </w:tcPr>
          <w:p w14:paraId="3D2AC11C" w14:textId="16F6E426" w:rsidR="003F59AA" w:rsidRDefault="005D6540" w:rsidP="00CA5E89">
            <w:pPr>
              <w:jc w:val="both"/>
              <w:rPr>
                <w:b/>
                <w:bCs/>
              </w:rPr>
            </w:pPr>
            <w:r>
              <w:rPr>
                <w:b/>
                <w:bCs/>
              </w:rPr>
              <w:t>Los Estados</w:t>
            </w:r>
          </w:p>
        </w:tc>
      </w:tr>
      <w:tr w:rsidR="003F59AA" w14:paraId="4058809A" w14:textId="77777777" w:rsidTr="003F59AA">
        <w:tc>
          <w:tcPr>
            <w:tcW w:w="2942" w:type="dxa"/>
          </w:tcPr>
          <w:p w14:paraId="0C351F5D" w14:textId="0FC5CE76" w:rsidR="003F59AA" w:rsidRDefault="005D6540" w:rsidP="00CA5E89">
            <w:pPr>
              <w:jc w:val="both"/>
              <w:rPr>
                <w:b/>
                <w:bCs/>
              </w:rPr>
            </w:pPr>
            <w:r>
              <w:rPr>
                <w:b/>
                <w:bCs/>
              </w:rPr>
              <w:t>Sujetos pasivos</w:t>
            </w:r>
          </w:p>
        </w:tc>
        <w:tc>
          <w:tcPr>
            <w:tcW w:w="2943" w:type="dxa"/>
          </w:tcPr>
          <w:p w14:paraId="6D00E37C" w14:textId="6F18BDCF" w:rsidR="003F59AA" w:rsidRDefault="005D6540" w:rsidP="00CA5E89">
            <w:pPr>
              <w:jc w:val="both"/>
              <w:rPr>
                <w:b/>
                <w:bCs/>
              </w:rPr>
            </w:pPr>
            <w:r>
              <w:rPr>
                <w:b/>
                <w:bCs/>
              </w:rPr>
              <w:t>Estados</w:t>
            </w:r>
          </w:p>
        </w:tc>
        <w:tc>
          <w:tcPr>
            <w:tcW w:w="2943" w:type="dxa"/>
          </w:tcPr>
          <w:p w14:paraId="56240ECC" w14:textId="194C9CAA" w:rsidR="003F59AA" w:rsidRDefault="005D6540" w:rsidP="00CA5E89">
            <w:pPr>
              <w:jc w:val="both"/>
              <w:rPr>
                <w:b/>
                <w:bCs/>
              </w:rPr>
            </w:pPr>
            <w:r>
              <w:rPr>
                <w:b/>
                <w:bCs/>
              </w:rPr>
              <w:t>Estados y beligerantes</w:t>
            </w:r>
          </w:p>
        </w:tc>
      </w:tr>
      <w:tr w:rsidR="003F59AA" w14:paraId="4D700671" w14:textId="77777777" w:rsidTr="003F59AA">
        <w:tc>
          <w:tcPr>
            <w:tcW w:w="2942" w:type="dxa"/>
          </w:tcPr>
          <w:p w14:paraId="1E4A5B48" w14:textId="66431375" w:rsidR="003F59AA" w:rsidRDefault="005D6540" w:rsidP="00CA5E89">
            <w:pPr>
              <w:jc w:val="both"/>
              <w:rPr>
                <w:b/>
                <w:bCs/>
              </w:rPr>
            </w:pPr>
            <w:r>
              <w:rPr>
                <w:b/>
                <w:bCs/>
              </w:rPr>
              <w:t xml:space="preserve">Responsables </w:t>
            </w:r>
          </w:p>
        </w:tc>
        <w:tc>
          <w:tcPr>
            <w:tcW w:w="2943" w:type="dxa"/>
          </w:tcPr>
          <w:p w14:paraId="259C89A3" w14:textId="41564AF2" w:rsidR="003F59AA" w:rsidRDefault="005D6540" w:rsidP="00CA5E89">
            <w:pPr>
              <w:jc w:val="both"/>
              <w:rPr>
                <w:b/>
                <w:bCs/>
              </w:rPr>
            </w:pPr>
            <w:r>
              <w:rPr>
                <w:b/>
                <w:bCs/>
              </w:rPr>
              <w:t>Estados</w:t>
            </w:r>
          </w:p>
        </w:tc>
        <w:tc>
          <w:tcPr>
            <w:tcW w:w="2943" w:type="dxa"/>
          </w:tcPr>
          <w:p w14:paraId="0158F9B3" w14:textId="5191A4ED" w:rsidR="003F59AA" w:rsidRDefault="005D6540" w:rsidP="00CA5E89">
            <w:pPr>
              <w:jc w:val="both"/>
              <w:rPr>
                <w:b/>
                <w:bCs/>
              </w:rPr>
            </w:pPr>
            <w:r>
              <w:rPr>
                <w:b/>
                <w:bCs/>
              </w:rPr>
              <w:t>Estado y jerarcas</w:t>
            </w:r>
          </w:p>
        </w:tc>
      </w:tr>
      <w:tr w:rsidR="005D6540" w14:paraId="63E62C15" w14:textId="77777777" w:rsidTr="003F59AA">
        <w:tc>
          <w:tcPr>
            <w:tcW w:w="2942" w:type="dxa"/>
          </w:tcPr>
          <w:p w14:paraId="4DC459BF" w14:textId="2E803C19" w:rsidR="005D6540" w:rsidRDefault="005D6540" w:rsidP="00CA5E89">
            <w:pPr>
              <w:jc w:val="both"/>
              <w:rPr>
                <w:b/>
                <w:bCs/>
              </w:rPr>
            </w:pPr>
            <w:r>
              <w:rPr>
                <w:b/>
                <w:bCs/>
              </w:rPr>
              <w:t xml:space="preserve">Órganos </w:t>
            </w:r>
          </w:p>
        </w:tc>
        <w:tc>
          <w:tcPr>
            <w:tcW w:w="2943" w:type="dxa"/>
          </w:tcPr>
          <w:p w14:paraId="00B3E5C2" w14:textId="6803E463" w:rsidR="005D6540" w:rsidRDefault="005D6540" w:rsidP="00CA5E89">
            <w:pPr>
              <w:jc w:val="both"/>
              <w:rPr>
                <w:b/>
                <w:bCs/>
              </w:rPr>
            </w:pPr>
            <w:r>
              <w:rPr>
                <w:b/>
                <w:bCs/>
              </w:rPr>
              <w:t>Permanentes</w:t>
            </w:r>
          </w:p>
        </w:tc>
        <w:tc>
          <w:tcPr>
            <w:tcW w:w="2943" w:type="dxa"/>
          </w:tcPr>
          <w:p w14:paraId="1081F023" w14:textId="47F8EDA6" w:rsidR="005D6540" w:rsidRDefault="005D6540" w:rsidP="00CA5E89">
            <w:pPr>
              <w:jc w:val="both"/>
              <w:rPr>
                <w:b/>
                <w:bCs/>
              </w:rPr>
            </w:pPr>
            <w:r>
              <w:rPr>
                <w:b/>
                <w:bCs/>
              </w:rPr>
              <w:t>Ad Hoc</w:t>
            </w:r>
          </w:p>
        </w:tc>
      </w:tr>
    </w:tbl>
    <w:p w14:paraId="647EA7CA" w14:textId="7D9F90C2" w:rsidR="003F59AA" w:rsidRDefault="003F59AA" w:rsidP="00CA5E89">
      <w:pPr>
        <w:jc w:val="both"/>
        <w:rPr>
          <w:b/>
          <w:bCs/>
        </w:rPr>
      </w:pPr>
    </w:p>
    <w:p w14:paraId="35865AFD" w14:textId="77777777" w:rsidR="005D6540" w:rsidRDefault="005D6540" w:rsidP="00CA5E89">
      <w:pPr>
        <w:jc w:val="both"/>
        <w:rPr>
          <w:b/>
          <w:bCs/>
        </w:rPr>
      </w:pPr>
    </w:p>
    <w:p w14:paraId="635B4E55" w14:textId="7FAF3B62" w:rsidR="005D6540" w:rsidRDefault="005D6540" w:rsidP="00CA5E89">
      <w:pPr>
        <w:jc w:val="both"/>
        <w:rPr>
          <w:b/>
          <w:bCs/>
          <w:u w:val="single"/>
        </w:rPr>
      </w:pPr>
      <w:r w:rsidRPr="005D6540">
        <w:rPr>
          <w:b/>
          <w:bCs/>
          <w:u w:val="single"/>
        </w:rPr>
        <w:t>Relaciones con el derecho penal:</w:t>
      </w:r>
    </w:p>
    <w:p w14:paraId="36697ECA" w14:textId="77D71885" w:rsidR="005D6540" w:rsidRDefault="005D6540" w:rsidP="00CA5E89">
      <w:pPr>
        <w:jc w:val="both"/>
      </w:pPr>
      <w:r>
        <w:t>El derecho represivo, al proteger jurídicamente determinados bienes y valores, brinda herramientas al Estado para perseguir y sancionar violaciones a los Derechos Humanos perpetradas por particulares o por agentes del Estado en su territorio. Con una adecuada legislación penal y su aplicación eficaz por los tribunales internos, el Estado evitará ser denunciado o demandado internacionalmente por violaciones a los derechos humanos, ya que la omisión por parte del Estado de realizar todas las gestiones necesarias para aclarar los hechos en los que hubo violaciones a los Derechos Humanos, descubrir y juzgar a los responsables y garantizar el derecho de la verdad de las víctimas, compromete su responsabilidad internacional a la luz del Derecho internacional de los Derechos Humanos.</w:t>
      </w:r>
    </w:p>
    <w:p w14:paraId="23AF28F7" w14:textId="40659A5C" w:rsidR="005D6540" w:rsidRDefault="005D6540" w:rsidP="00CA5E89">
      <w:pPr>
        <w:jc w:val="both"/>
        <w:rPr>
          <w:b/>
          <w:bCs/>
          <w:u w:val="single"/>
        </w:rPr>
      </w:pPr>
      <w:r w:rsidRPr="005D6540">
        <w:rPr>
          <w:b/>
          <w:bCs/>
          <w:u w:val="single"/>
        </w:rPr>
        <w:t>Relaciones con el derecho procesal:</w:t>
      </w:r>
    </w:p>
    <w:p w14:paraId="2D169E14" w14:textId="08BEFACF" w:rsidR="005D6540" w:rsidRDefault="005D6540" w:rsidP="00CA5E89">
      <w:pPr>
        <w:jc w:val="both"/>
      </w:pPr>
      <w:r>
        <w:t xml:space="preserve">Todo reclamo por violaciones a los derechos humanos debe realizarse, en primer término, ante los tribunales internos de los Estados. Desde este punto de vista, es evidente la estrecha relación entre derechos humanos y el derecho procesal, en cuanto el segundo es el que viabiliza el reclamo y permite su ejecución. El rol del derecho procesal, en cuanto protector de los derechos fundamentales, se visualiza claramente en </w:t>
      </w:r>
      <w:r w:rsidR="008F6777">
        <w:t xml:space="preserve">una nueva rama del derecho: el derecho procesal constitucional, que es el estudio sistematizado de los órganos competentes para el ejercicio del control de </w:t>
      </w:r>
      <w:r w:rsidR="008F6777">
        <w:lastRenderedPageBreak/>
        <w:t xml:space="preserve">constitucionalidad y convencionalidad y de los procesos de garantía de los derechos humanos y de los derechos fundamentales. </w:t>
      </w:r>
    </w:p>
    <w:p w14:paraId="4044A8B5" w14:textId="2F02BBF4" w:rsidR="008F6777" w:rsidRDefault="008F6777" w:rsidP="00CA5E89">
      <w:pPr>
        <w:jc w:val="both"/>
      </w:pPr>
      <w:r>
        <w:t xml:space="preserve">A modo de conclusión, diremos que esta materia se nutre de varias otras, tanto del derecho interno como del internacional. Con su sumatoria ha conformado su autonomía normativa, jurisdiccional y académica. Se trata, en definitiva, de un sistema en el cual el derecho internacional se vale del derecho interno de los Estados, especialmente del constitucional, para proteger al ser humano. </w:t>
      </w:r>
    </w:p>
    <w:p w14:paraId="425EE83D" w14:textId="138F69B2" w:rsidR="008F6777" w:rsidRDefault="008F6777" w:rsidP="00CA5E89">
      <w:pPr>
        <w:jc w:val="both"/>
      </w:pPr>
      <w:r>
        <w:t xml:space="preserve">Las primeras medidas para la protección y el restablecimiento de un derecho humano afectado deben buscarse en el derecho interno del Estado en que habita el individuo y, en caso de falta de resguardo suficiente, de denegatoria o retraso injustificado de justicia en ese Estado, el afectado puede acudir a los sistemas internacionales de protección de los derechos humanos, por ejemplo, la comisión y la corte </w:t>
      </w:r>
      <w:r w:rsidR="00CA5E89">
        <w:t>Interamericana</w:t>
      </w:r>
      <w:r>
        <w:t xml:space="preserve"> de Derechos Humanos.</w:t>
      </w:r>
    </w:p>
    <w:p w14:paraId="1B7DB021" w14:textId="23B6F002" w:rsidR="008F6777" w:rsidRPr="005D6540" w:rsidRDefault="008F6777" w:rsidP="00CA5E89">
      <w:pPr>
        <w:jc w:val="both"/>
      </w:pPr>
      <w:r>
        <w:t>Por eso, tiene gran relevancia en el desarrollo de esta materia, acudir a las normas internas del Estado (Constitución Nacional, Constituciones Provinciales, leyes, etc.), como también a las normas internacionales (tratados, costumbres y declaraciones) y a la correlación entre unas y otras, puesto que las normas internas que protegen los derechos humanos no son más que el modo en que el Estado cumple (o no) con sus obligaciones internacionalmente asumidas en la materia. En otras palabras, son el modo en que el Estado pone en vigencia, en su territorio, el objetivo enunciado en la Carta de las Naciones Unidas de “crear las condiciones de estabilidad y bienestar necesarias para lograr el respeto universal a los derechos humanos y a las libertades fundamentales de todos”</w:t>
      </w:r>
    </w:p>
    <w:sectPr w:rsidR="008F6777" w:rsidRPr="005D654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flecja">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E0017"/>
    <w:multiLevelType w:val="hybridMultilevel"/>
    <w:tmpl w:val="A670C2B8"/>
    <w:lvl w:ilvl="0" w:tplc="240C4E64">
      <w:numFmt w:val="bullet"/>
      <w:lvlText w:val="-"/>
      <w:lvlJc w:val="left"/>
      <w:pPr>
        <w:ind w:left="72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747012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73"/>
    <w:rsid w:val="00320A11"/>
    <w:rsid w:val="003F59AA"/>
    <w:rsid w:val="005D4B93"/>
    <w:rsid w:val="005D6540"/>
    <w:rsid w:val="00694E04"/>
    <w:rsid w:val="00881C99"/>
    <w:rsid w:val="008F4988"/>
    <w:rsid w:val="008F6777"/>
    <w:rsid w:val="00954C73"/>
    <w:rsid w:val="00A45A82"/>
    <w:rsid w:val="00A97E57"/>
    <w:rsid w:val="00B17E78"/>
    <w:rsid w:val="00B25E38"/>
    <w:rsid w:val="00BA525F"/>
    <w:rsid w:val="00C81625"/>
    <w:rsid w:val="00C96D69"/>
    <w:rsid w:val="00CA5E89"/>
    <w:rsid w:val="00EE5939"/>
    <w:rsid w:val="00F824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80F0838"/>
  <w15:chartTrackingRefBased/>
  <w15:docId w15:val="{09D0EC5A-6B11-D54A-AAA6-FC59D849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954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4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4C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4C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4C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4C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4C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4C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4C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4C73"/>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954C73"/>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954C73"/>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954C73"/>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954C73"/>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954C73"/>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954C73"/>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954C73"/>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954C73"/>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954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4C73"/>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954C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4C73"/>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54C73"/>
    <w:pPr>
      <w:spacing w:before="160"/>
      <w:jc w:val="center"/>
    </w:pPr>
    <w:rPr>
      <w:i/>
      <w:iCs/>
      <w:color w:val="404040" w:themeColor="text1" w:themeTint="BF"/>
    </w:rPr>
  </w:style>
  <w:style w:type="character" w:customStyle="1" w:styleId="CitaCar">
    <w:name w:val="Cita Car"/>
    <w:basedOn w:val="Fuentedeprrafopredeter"/>
    <w:link w:val="Cita"/>
    <w:uiPriority w:val="29"/>
    <w:rsid w:val="00954C73"/>
    <w:rPr>
      <w:i/>
      <w:iCs/>
      <w:color w:val="404040" w:themeColor="text1" w:themeTint="BF"/>
      <w:lang w:val="es-ES"/>
    </w:rPr>
  </w:style>
  <w:style w:type="paragraph" w:styleId="Prrafodelista">
    <w:name w:val="List Paragraph"/>
    <w:basedOn w:val="Normal"/>
    <w:uiPriority w:val="34"/>
    <w:qFormat/>
    <w:rsid w:val="00954C73"/>
    <w:pPr>
      <w:ind w:left="720"/>
      <w:contextualSpacing/>
    </w:pPr>
  </w:style>
  <w:style w:type="character" w:styleId="nfasisintenso">
    <w:name w:val="Intense Emphasis"/>
    <w:basedOn w:val="Fuentedeprrafopredeter"/>
    <w:uiPriority w:val="21"/>
    <w:qFormat/>
    <w:rsid w:val="00954C73"/>
    <w:rPr>
      <w:i/>
      <w:iCs/>
      <w:color w:val="0F4761" w:themeColor="accent1" w:themeShade="BF"/>
    </w:rPr>
  </w:style>
  <w:style w:type="paragraph" w:styleId="Citadestacada">
    <w:name w:val="Intense Quote"/>
    <w:basedOn w:val="Normal"/>
    <w:next w:val="Normal"/>
    <w:link w:val="CitadestacadaCar"/>
    <w:uiPriority w:val="30"/>
    <w:qFormat/>
    <w:rsid w:val="00954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4C73"/>
    <w:rPr>
      <w:i/>
      <w:iCs/>
      <w:color w:val="0F4761" w:themeColor="accent1" w:themeShade="BF"/>
      <w:lang w:val="es-ES"/>
    </w:rPr>
  </w:style>
  <w:style w:type="character" w:styleId="Referenciaintensa">
    <w:name w:val="Intense Reference"/>
    <w:basedOn w:val="Fuentedeprrafopredeter"/>
    <w:uiPriority w:val="32"/>
    <w:qFormat/>
    <w:rsid w:val="00954C73"/>
    <w:rPr>
      <w:b/>
      <w:bCs/>
      <w:smallCaps/>
      <w:color w:val="0F4761" w:themeColor="accent1" w:themeShade="BF"/>
      <w:spacing w:val="5"/>
    </w:rPr>
  </w:style>
  <w:style w:type="table" w:styleId="Tablaconcuadrcula">
    <w:name w:val="Table Grid"/>
    <w:basedOn w:val="Tablanormal"/>
    <w:uiPriority w:val="39"/>
    <w:rsid w:val="003F5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6</Pages>
  <Words>2059</Words>
  <Characters>11330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2026-08-11T13:38:00Z</dcterms:created>
  <dcterms:modified xsi:type="dcterms:W3CDTF">2026-08-18T15:21:00Z</dcterms:modified>
</cp:coreProperties>
</file>