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0FB648" w14:textId="7EB12CA3" w:rsidR="00A97E57" w:rsidRDefault="00E60884" w:rsidP="0050247D">
      <w:pPr>
        <w:jc w:val="both"/>
        <w:rPr>
          <w:b/>
          <w:bCs/>
          <w:u w:val="single"/>
        </w:rPr>
      </w:pPr>
      <w:r w:rsidRPr="00E60884">
        <w:rPr>
          <w:b/>
          <w:bCs/>
          <w:u w:val="single"/>
        </w:rPr>
        <w:t>Otros institutos e</w:t>
      </w:r>
      <w:r w:rsidR="00313D54">
        <w:rPr>
          <w:b/>
          <w:bCs/>
          <w:u w:val="single"/>
        </w:rPr>
        <w:t>n</w:t>
      </w:r>
      <w:r w:rsidRPr="00E60884">
        <w:rPr>
          <w:b/>
          <w:bCs/>
          <w:u w:val="single"/>
        </w:rPr>
        <w:t xml:space="preserve"> que se manifiesta la garantía: </w:t>
      </w:r>
    </w:p>
    <w:p w14:paraId="0D15E922" w14:textId="1BA76924" w:rsidR="00E60884" w:rsidRDefault="00E60884" w:rsidP="0050247D">
      <w:pPr>
        <w:jc w:val="both"/>
      </w:pPr>
      <w:r>
        <w:t>Existen otros institutos jurídicos en que puede observarse la Garantía en análisis, pues también tienen por finalidad proteger la defensa en juicio del imputado. Entre ellas podemos mencionar:</w:t>
      </w:r>
    </w:p>
    <w:p w14:paraId="4A1815C5" w14:textId="3DFDC1E2" w:rsidR="00E60884" w:rsidRDefault="00E60884" w:rsidP="0050247D">
      <w:pPr>
        <w:pStyle w:val="Prrafodelista"/>
        <w:numPr>
          <w:ilvl w:val="0"/>
          <w:numId w:val="1"/>
        </w:numPr>
        <w:jc w:val="both"/>
      </w:pPr>
      <w:r w:rsidRPr="00E60884">
        <w:rPr>
          <w:b/>
          <w:bCs/>
        </w:rPr>
        <w:t>Inadmisibilidad de la Reformatio in peius</w:t>
      </w:r>
      <w:r>
        <w:t>: Este principio significa que resulta inadmisible la modificación de una sentencia o resolución en perjuicio del imputado, cuando ella solo fue recurrida por él o por otra persona autorizada por ley, en su favor. Así lo establece expresamente el siguiente articulo:</w:t>
      </w:r>
    </w:p>
    <w:p w14:paraId="0CABCB6E" w14:textId="77777777" w:rsidR="00E60884" w:rsidRDefault="00E60884" w:rsidP="0050247D">
      <w:pPr>
        <w:pStyle w:val="Prrafodelista"/>
        <w:jc w:val="both"/>
      </w:pPr>
    </w:p>
    <w:p w14:paraId="20146A69" w14:textId="77777777" w:rsidR="00E60884" w:rsidRPr="00E60884" w:rsidRDefault="00E60884" w:rsidP="0050247D">
      <w:pPr>
        <w:pStyle w:val="p1"/>
        <w:jc w:val="both"/>
        <w:rPr>
          <w:sz w:val="18"/>
          <w:szCs w:val="18"/>
        </w:rPr>
      </w:pPr>
      <w:r w:rsidRPr="00E60884">
        <w:rPr>
          <w:b/>
          <w:bCs/>
          <w:sz w:val="18"/>
          <w:szCs w:val="18"/>
        </w:rPr>
        <w:t>ARTÍCULO 435</w:t>
      </w:r>
      <w:r w:rsidRPr="00E60884">
        <w:rPr>
          <w:sz w:val="18"/>
          <w:szCs w:val="18"/>
        </w:rPr>
        <w:t xml:space="preserve">. </w:t>
      </w:r>
      <w:proofErr w:type="spellStart"/>
      <w:r w:rsidRPr="00E60884">
        <w:rPr>
          <w:b/>
          <w:bCs/>
          <w:sz w:val="18"/>
          <w:szCs w:val="18"/>
        </w:rPr>
        <w:t>Reformatio</w:t>
      </w:r>
      <w:proofErr w:type="spellEnd"/>
      <w:r w:rsidRPr="00E60884">
        <w:rPr>
          <w:b/>
          <w:bCs/>
          <w:sz w:val="18"/>
          <w:szCs w:val="18"/>
        </w:rPr>
        <w:t xml:space="preserve"> in </w:t>
      </w:r>
      <w:proofErr w:type="spellStart"/>
      <w:r w:rsidRPr="00E60884">
        <w:rPr>
          <w:b/>
          <w:bCs/>
          <w:sz w:val="18"/>
          <w:szCs w:val="18"/>
        </w:rPr>
        <w:t>peius</w:t>
      </w:r>
      <w:proofErr w:type="spellEnd"/>
      <w:r w:rsidRPr="00E60884">
        <w:rPr>
          <w:sz w:val="18"/>
          <w:szCs w:val="18"/>
        </w:rPr>
        <w:t>”. No obstante ello, la Alzada podrá conocer</w:t>
      </w:r>
    </w:p>
    <w:p w14:paraId="4A4305C7" w14:textId="77777777" w:rsidR="00E60884" w:rsidRPr="00E60884" w:rsidRDefault="00E60884" w:rsidP="0050247D">
      <w:pPr>
        <w:pStyle w:val="p1"/>
        <w:jc w:val="both"/>
        <w:rPr>
          <w:sz w:val="18"/>
          <w:szCs w:val="18"/>
        </w:rPr>
      </w:pPr>
      <w:r w:rsidRPr="00E60884">
        <w:rPr>
          <w:sz w:val="18"/>
          <w:szCs w:val="18"/>
        </w:rPr>
        <w:t>más allá de los motivos de agravio cuando eso permita mejorar la situación del</w:t>
      </w:r>
    </w:p>
    <w:p w14:paraId="08416FA6" w14:textId="77777777" w:rsidR="00E60884" w:rsidRPr="00313D54" w:rsidRDefault="00E60884" w:rsidP="0050247D">
      <w:pPr>
        <w:pStyle w:val="p1"/>
        <w:jc w:val="both"/>
        <w:rPr>
          <w:b/>
          <w:bCs/>
          <w:sz w:val="18"/>
          <w:szCs w:val="18"/>
        </w:rPr>
      </w:pPr>
      <w:r w:rsidRPr="00E60884">
        <w:rPr>
          <w:sz w:val="18"/>
          <w:szCs w:val="18"/>
        </w:rPr>
        <w:t xml:space="preserve">imputado. Las resoluciones recurridas sólo por el imputado o en su favor, </w:t>
      </w:r>
      <w:r w:rsidRPr="00313D54">
        <w:rPr>
          <w:b/>
          <w:bCs/>
          <w:sz w:val="18"/>
          <w:szCs w:val="18"/>
        </w:rPr>
        <w:t>no</w:t>
      </w:r>
    </w:p>
    <w:p w14:paraId="5164EA4D" w14:textId="77777777" w:rsidR="00E60884" w:rsidRDefault="00E60884" w:rsidP="0050247D">
      <w:pPr>
        <w:pStyle w:val="p1"/>
        <w:jc w:val="both"/>
        <w:rPr>
          <w:sz w:val="18"/>
          <w:szCs w:val="18"/>
        </w:rPr>
      </w:pPr>
      <w:r w:rsidRPr="00313D54">
        <w:rPr>
          <w:b/>
          <w:bCs/>
          <w:sz w:val="18"/>
          <w:szCs w:val="18"/>
        </w:rPr>
        <w:t>podrán revocarse, modificarse o anularse en su perjuicio</w:t>
      </w:r>
      <w:r w:rsidRPr="00E60884">
        <w:rPr>
          <w:sz w:val="18"/>
          <w:szCs w:val="18"/>
        </w:rPr>
        <w:t>.</w:t>
      </w:r>
    </w:p>
    <w:p w14:paraId="5CADDDD3" w14:textId="77777777" w:rsidR="00E60884" w:rsidRPr="00E60884" w:rsidRDefault="00E60884" w:rsidP="0050247D">
      <w:pPr>
        <w:pStyle w:val="p1"/>
        <w:jc w:val="both"/>
        <w:rPr>
          <w:sz w:val="18"/>
          <w:szCs w:val="18"/>
        </w:rPr>
      </w:pPr>
    </w:p>
    <w:p w14:paraId="6C9CD844" w14:textId="0C48402D" w:rsidR="00E60884" w:rsidRPr="00E60884" w:rsidRDefault="00E60884" w:rsidP="0050247D">
      <w:pPr>
        <w:pStyle w:val="Prrafodelista"/>
        <w:numPr>
          <w:ilvl w:val="0"/>
          <w:numId w:val="1"/>
        </w:numPr>
        <w:jc w:val="both"/>
        <w:rPr>
          <w:b/>
          <w:bCs/>
        </w:rPr>
      </w:pPr>
      <w:r w:rsidRPr="00E60884">
        <w:rPr>
          <w:b/>
          <w:bCs/>
        </w:rPr>
        <w:t xml:space="preserve">Inadmisibilidad del juicio oral contra ausentes: </w:t>
      </w:r>
      <w:r w:rsidRPr="00E60884">
        <w:t>En el proceso penal (a diferencia del proceso civil) no se admite que el juicio oral sea llevado adelante estando el imputado en rebeldía (ausente)</w:t>
      </w:r>
      <w:r>
        <w:t xml:space="preserve">. Es necesaria la presencia de él en todo momento del juicio, para que pueda conocer y defenderse. </w:t>
      </w:r>
      <w:r w:rsidR="00313D54">
        <w:t xml:space="preserve">La tramitación del proceso sólo continúa durante la investigación penal preparatoria, pero el juicio oral exige la presencia física del imputado. </w:t>
      </w:r>
    </w:p>
    <w:p w14:paraId="3C5C895E" w14:textId="77777777" w:rsidR="00E60884" w:rsidRDefault="00E60884" w:rsidP="0050247D">
      <w:pPr>
        <w:pStyle w:val="Prrafodelista"/>
        <w:jc w:val="both"/>
        <w:rPr>
          <w:b/>
          <w:bCs/>
        </w:rPr>
      </w:pPr>
    </w:p>
    <w:p w14:paraId="33EAF442" w14:textId="77777777" w:rsidR="00E60884" w:rsidRPr="00E60884" w:rsidRDefault="00E60884" w:rsidP="0050247D">
      <w:pPr>
        <w:pStyle w:val="p1"/>
        <w:jc w:val="both"/>
        <w:rPr>
          <w:sz w:val="18"/>
          <w:szCs w:val="18"/>
        </w:rPr>
      </w:pPr>
      <w:r w:rsidRPr="00E60884">
        <w:rPr>
          <w:b/>
          <w:bCs/>
          <w:sz w:val="18"/>
          <w:szCs w:val="18"/>
        </w:rPr>
        <w:t>ARTÍCULO 305. Efectos sobre el proceso</w:t>
      </w:r>
      <w:r w:rsidRPr="00E60884">
        <w:rPr>
          <w:sz w:val="18"/>
          <w:szCs w:val="18"/>
        </w:rPr>
        <w:t>. La declaración de rebeldía no</w:t>
      </w:r>
    </w:p>
    <w:p w14:paraId="57A953CE" w14:textId="77777777" w:rsidR="00E60884" w:rsidRPr="00E60884" w:rsidRDefault="00E60884" w:rsidP="0050247D">
      <w:pPr>
        <w:pStyle w:val="p1"/>
        <w:jc w:val="both"/>
        <w:rPr>
          <w:sz w:val="18"/>
          <w:szCs w:val="18"/>
        </w:rPr>
      </w:pPr>
      <w:r w:rsidRPr="00E60884">
        <w:rPr>
          <w:sz w:val="18"/>
          <w:szCs w:val="18"/>
        </w:rPr>
        <w:t>suspenderá el curso de la Investigación Penal Preparatoria. Si fuere declarada</w:t>
      </w:r>
    </w:p>
    <w:p w14:paraId="1600D8C9" w14:textId="77777777" w:rsidR="00E60884" w:rsidRPr="00E60884" w:rsidRDefault="00E60884" w:rsidP="0050247D">
      <w:pPr>
        <w:pStyle w:val="p1"/>
        <w:jc w:val="both"/>
        <w:rPr>
          <w:sz w:val="18"/>
          <w:szCs w:val="18"/>
        </w:rPr>
      </w:pPr>
      <w:r w:rsidRPr="00E60884">
        <w:rPr>
          <w:sz w:val="18"/>
          <w:szCs w:val="18"/>
        </w:rPr>
        <w:t>durante el juicio, se suspenderá con respecto al rebelde y continuará para los</w:t>
      </w:r>
    </w:p>
    <w:p w14:paraId="39894D6B" w14:textId="77777777" w:rsidR="00E60884" w:rsidRPr="00E60884" w:rsidRDefault="00E60884" w:rsidP="0050247D">
      <w:pPr>
        <w:pStyle w:val="p1"/>
        <w:jc w:val="both"/>
        <w:rPr>
          <w:sz w:val="18"/>
          <w:szCs w:val="18"/>
        </w:rPr>
      </w:pPr>
      <w:r w:rsidRPr="00E60884">
        <w:rPr>
          <w:sz w:val="18"/>
          <w:szCs w:val="18"/>
        </w:rPr>
        <w:t>demás imputados presentes. Declarada la rebeldía se reservarán las actuaciones y</w:t>
      </w:r>
    </w:p>
    <w:p w14:paraId="636BD6C3" w14:textId="77777777" w:rsidR="00E60884" w:rsidRPr="00E60884" w:rsidRDefault="00E60884" w:rsidP="0050247D">
      <w:pPr>
        <w:pStyle w:val="p1"/>
        <w:jc w:val="both"/>
        <w:rPr>
          <w:sz w:val="18"/>
          <w:szCs w:val="18"/>
        </w:rPr>
      </w:pPr>
      <w:r w:rsidRPr="00E60884">
        <w:rPr>
          <w:sz w:val="18"/>
          <w:szCs w:val="18"/>
        </w:rPr>
        <w:t>los efectos, instrumentos o piezas de convicción que fuere indispensable conservar.</w:t>
      </w:r>
    </w:p>
    <w:p w14:paraId="3B1AEF53" w14:textId="77777777" w:rsidR="00E60884" w:rsidRPr="00E60884" w:rsidRDefault="00E60884" w:rsidP="0050247D">
      <w:pPr>
        <w:pStyle w:val="p1"/>
        <w:jc w:val="both"/>
        <w:rPr>
          <w:sz w:val="18"/>
          <w:szCs w:val="18"/>
        </w:rPr>
      </w:pPr>
      <w:r w:rsidRPr="00E60884">
        <w:rPr>
          <w:sz w:val="18"/>
          <w:szCs w:val="18"/>
        </w:rPr>
        <w:t>La acción civil podrá tramitarse en la sede pertinente. Cuando el rebelde</w:t>
      </w:r>
    </w:p>
    <w:p w14:paraId="135C1FFE" w14:textId="77777777" w:rsidR="00E60884" w:rsidRPr="00E60884" w:rsidRDefault="00E60884" w:rsidP="0050247D">
      <w:pPr>
        <w:pStyle w:val="p1"/>
        <w:jc w:val="both"/>
        <w:rPr>
          <w:sz w:val="18"/>
          <w:szCs w:val="18"/>
        </w:rPr>
      </w:pPr>
      <w:r w:rsidRPr="00E60884">
        <w:rPr>
          <w:sz w:val="18"/>
          <w:szCs w:val="18"/>
        </w:rPr>
        <w:t>comparezca, la causa continuará según su estado.</w:t>
      </w:r>
    </w:p>
    <w:p w14:paraId="504408C6" w14:textId="77777777" w:rsidR="00E60884" w:rsidRPr="00E60884" w:rsidRDefault="00E60884" w:rsidP="0050247D">
      <w:pPr>
        <w:pStyle w:val="p1"/>
        <w:jc w:val="both"/>
        <w:rPr>
          <w:sz w:val="18"/>
          <w:szCs w:val="18"/>
        </w:rPr>
      </w:pPr>
      <w:r w:rsidRPr="00E60884">
        <w:rPr>
          <w:b/>
          <w:bCs/>
          <w:sz w:val="18"/>
          <w:szCs w:val="18"/>
        </w:rPr>
        <w:t>ARTÍCULO 346. Postergación extraordinaria</w:t>
      </w:r>
      <w:r w:rsidRPr="00E60884">
        <w:rPr>
          <w:sz w:val="18"/>
          <w:szCs w:val="18"/>
        </w:rPr>
        <w:t>. En caso de fuga del imputado, el</w:t>
      </w:r>
    </w:p>
    <w:p w14:paraId="5D1161EE" w14:textId="77777777" w:rsidR="00E60884" w:rsidRPr="00E60884" w:rsidRDefault="00E60884" w:rsidP="0050247D">
      <w:pPr>
        <w:pStyle w:val="p1"/>
        <w:jc w:val="both"/>
        <w:rPr>
          <w:sz w:val="18"/>
          <w:szCs w:val="18"/>
        </w:rPr>
      </w:pPr>
      <w:r w:rsidRPr="00E60884">
        <w:rPr>
          <w:sz w:val="18"/>
          <w:szCs w:val="18"/>
        </w:rPr>
        <w:t>Tribunal ordenará la suspensión del debate, el cual sólo podrá reiniciarse una vez</w:t>
      </w:r>
    </w:p>
    <w:p w14:paraId="7EE6C4AB" w14:textId="77777777" w:rsidR="00E60884" w:rsidRPr="00E60884" w:rsidRDefault="00E60884" w:rsidP="0050247D">
      <w:pPr>
        <w:pStyle w:val="p1"/>
        <w:jc w:val="both"/>
        <w:rPr>
          <w:sz w:val="18"/>
          <w:szCs w:val="18"/>
        </w:rPr>
      </w:pPr>
      <w:r w:rsidRPr="00E60884">
        <w:rPr>
          <w:sz w:val="18"/>
          <w:szCs w:val="18"/>
        </w:rPr>
        <w:t>habido aquél.</w:t>
      </w:r>
    </w:p>
    <w:p w14:paraId="4D5591FA" w14:textId="77777777" w:rsidR="00E60884" w:rsidRDefault="00E60884" w:rsidP="0050247D">
      <w:pPr>
        <w:jc w:val="both"/>
        <w:rPr>
          <w:b/>
          <w:bCs/>
        </w:rPr>
      </w:pPr>
    </w:p>
    <w:p w14:paraId="4C7614E2" w14:textId="5E013472" w:rsidR="00E60884" w:rsidRPr="00E60884" w:rsidRDefault="00E60884" w:rsidP="0050247D">
      <w:pPr>
        <w:pStyle w:val="Prrafodelista"/>
        <w:numPr>
          <w:ilvl w:val="0"/>
          <w:numId w:val="1"/>
        </w:numPr>
        <w:jc w:val="both"/>
        <w:rPr>
          <w:b/>
          <w:bCs/>
        </w:rPr>
      </w:pPr>
      <w:r>
        <w:rPr>
          <w:b/>
          <w:bCs/>
        </w:rPr>
        <w:t xml:space="preserve">Incoercibilidad del imputado como órgano de prueba: </w:t>
      </w:r>
      <w:r w:rsidRPr="00E60884">
        <w:t>otra de las aristas de la garantía de defensa en juicio, se vincula con la prohibición de obligar al imputado a declarar contra sí mismo (Art</w:t>
      </w:r>
      <w:r w:rsidR="00313D54">
        <w:t>í</w:t>
      </w:r>
      <w:r w:rsidRPr="00E60884">
        <w:t>culo 18 CN)</w:t>
      </w:r>
      <w:r>
        <w:t xml:space="preserve">. Si bien el derecho constitucional de NO estar obligado a declarar contra uno mismo literalmente comprende la prohibición del Estado de obligar a una persona a que confiese en su contra, actualmente abarca otras circunstancias que se encuentran bajo su amparo. </w:t>
      </w:r>
    </w:p>
    <w:p w14:paraId="4E680840" w14:textId="78EF3618" w:rsidR="00E60884" w:rsidRDefault="00E60884" w:rsidP="0050247D">
      <w:pPr>
        <w:jc w:val="both"/>
      </w:pPr>
      <w:r w:rsidRPr="00E60884">
        <w:t>En tal sentido</w:t>
      </w:r>
      <w:r>
        <w:t xml:space="preserve">, podemos incluir como protección del mismo: el derecho a no declarar bajo juramento, sea como imputado o testigo si lo relatado puede comprometer a la </w:t>
      </w:r>
      <w:r>
        <w:lastRenderedPageBreak/>
        <w:t xml:space="preserve">persona; el derecho a que no sean tenidos en cuenta los dichos </w:t>
      </w:r>
      <w:proofErr w:type="spellStart"/>
      <w:r>
        <w:t>autoinculpatorios</w:t>
      </w:r>
      <w:proofErr w:type="spellEnd"/>
      <w:r>
        <w:t xml:space="preserve"> del imputado ante la fuerza policial o servicio penitenciario; el derecho a no estar obligado a realizar un cuerpo de escritura</w:t>
      </w:r>
      <w:r w:rsidR="00313D54">
        <w:t xml:space="preserve"> para posterior pericia caligráfica; a participar en una reconstrucción del hecho; a presentar documentación en su contra, etc. En concreto, y resumiendo lo mencionado, sería el derecho a no estar obligado a participar de actos de investigación o probatorios donde la persona deba actuar como “sujeto”.</w:t>
      </w:r>
    </w:p>
    <w:p w14:paraId="733FF356" w14:textId="673A0877" w:rsidR="00313D54" w:rsidRPr="00E60884" w:rsidRDefault="00313D54" w:rsidP="0050247D">
      <w:pPr>
        <w:jc w:val="both"/>
      </w:pPr>
      <w:r>
        <w:t xml:space="preserve">Si debe afirmarse que existen una serie de cuestiones sobre las que no hay hasta la fecha una elaboración jurisprudencial rotunda, toda vez que el derecho en cuestión pareciera no comprender los casos en que se obliga al imputado a someterse a una extracción de huellas dactilares, extracción de sangre, saliva o cabello, se utilice en su contra un modus operandi; se lo obligue a participar en un reconocimiento en rueda (más allá que procesalmente pueda negarse). En concreto, y si bien aún se debate, pareciera que los ejemplos mencionados no están comprendidos en la garantía en cuestión, siendo que el imputado no podría negarse a participar de actos de investigación o probatorios donde la persona deba actuar como “objeto”. Es decir, de manera pasiva. </w:t>
      </w:r>
    </w:p>
    <w:sectPr w:rsidR="00313D54" w:rsidRPr="00E608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F12614"/>
    <w:multiLevelType w:val="hybridMultilevel"/>
    <w:tmpl w:val="850452B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642485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84"/>
    <w:rsid w:val="00313D54"/>
    <w:rsid w:val="00320A11"/>
    <w:rsid w:val="0050247D"/>
    <w:rsid w:val="005F51C1"/>
    <w:rsid w:val="009E4A09"/>
    <w:rsid w:val="00A97E57"/>
    <w:rsid w:val="00E608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5ED797E"/>
  <w15:chartTrackingRefBased/>
  <w15:docId w15:val="{22506BF6-58DB-F44B-83D9-F03F28E8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E60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60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6088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6088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6088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608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608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608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6088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0884"/>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E60884"/>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E60884"/>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E60884"/>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E60884"/>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E60884"/>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E60884"/>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E60884"/>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E60884"/>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E60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60884"/>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E6088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60884"/>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E60884"/>
    <w:pPr>
      <w:spacing w:before="160"/>
      <w:jc w:val="center"/>
    </w:pPr>
    <w:rPr>
      <w:i/>
      <w:iCs/>
      <w:color w:val="404040" w:themeColor="text1" w:themeTint="BF"/>
    </w:rPr>
  </w:style>
  <w:style w:type="character" w:customStyle="1" w:styleId="CitaCar">
    <w:name w:val="Cita Car"/>
    <w:basedOn w:val="Fuentedeprrafopredeter"/>
    <w:link w:val="Cita"/>
    <w:uiPriority w:val="29"/>
    <w:rsid w:val="00E60884"/>
    <w:rPr>
      <w:i/>
      <w:iCs/>
      <w:color w:val="404040" w:themeColor="text1" w:themeTint="BF"/>
      <w:lang w:val="es-ES"/>
    </w:rPr>
  </w:style>
  <w:style w:type="paragraph" w:styleId="Prrafodelista">
    <w:name w:val="List Paragraph"/>
    <w:basedOn w:val="Normal"/>
    <w:uiPriority w:val="34"/>
    <w:qFormat/>
    <w:rsid w:val="00E60884"/>
    <w:pPr>
      <w:ind w:left="720"/>
      <w:contextualSpacing/>
    </w:pPr>
  </w:style>
  <w:style w:type="character" w:styleId="nfasisintenso">
    <w:name w:val="Intense Emphasis"/>
    <w:basedOn w:val="Fuentedeprrafopredeter"/>
    <w:uiPriority w:val="21"/>
    <w:qFormat/>
    <w:rsid w:val="00E60884"/>
    <w:rPr>
      <w:i/>
      <w:iCs/>
      <w:color w:val="0F4761" w:themeColor="accent1" w:themeShade="BF"/>
    </w:rPr>
  </w:style>
  <w:style w:type="paragraph" w:styleId="Citadestacada">
    <w:name w:val="Intense Quote"/>
    <w:basedOn w:val="Normal"/>
    <w:next w:val="Normal"/>
    <w:link w:val="CitadestacadaCar"/>
    <w:uiPriority w:val="30"/>
    <w:qFormat/>
    <w:rsid w:val="00E60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60884"/>
    <w:rPr>
      <w:i/>
      <w:iCs/>
      <w:color w:val="0F4761" w:themeColor="accent1" w:themeShade="BF"/>
      <w:lang w:val="es-ES"/>
    </w:rPr>
  </w:style>
  <w:style w:type="character" w:styleId="Referenciaintensa">
    <w:name w:val="Intense Reference"/>
    <w:basedOn w:val="Fuentedeprrafopredeter"/>
    <w:uiPriority w:val="32"/>
    <w:qFormat/>
    <w:rsid w:val="00E60884"/>
    <w:rPr>
      <w:b/>
      <w:bCs/>
      <w:smallCaps/>
      <w:color w:val="0F4761" w:themeColor="accent1" w:themeShade="BF"/>
      <w:spacing w:val="5"/>
    </w:rPr>
  </w:style>
  <w:style w:type="paragraph" w:customStyle="1" w:styleId="p1">
    <w:name w:val="p1"/>
    <w:basedOn w:val="Normal"/>
    <w:rsid w:val="00E60884"/>
    <w:pPr>
      <w:spacing w:after="0" w:line="240" w:lineRule="auto"/>
    </w:pPr>
    <w:rPr>
      <w:rFonts w:ascii="Helvetica" w:eastAsia="Times New Roman" w:hAnsi="Helvetica" w:cs="Times New Roman"/>
      <w:color w:val="000000"/>
      <w:kern w:val="0"/>
      <w:sz w:val="15"/>
      <w:szCs w:val="15"/>
      <w:lang w:val="es-AR"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597</Words>
  <Characters>3288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2026-07-15T13:26:00Z</dcterms:created>
  <dcterms:modified xsi:type="dcterms:W3CDTF">2026-08-18T21:59:00Z</dcterms:modified>
</cp:coreProperties>
</file>