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61002F" w14:textId="58293B0F" w:rsidR="00A97E57" w:rsidRPr="00456AE8" w:rsidRDefault="0037621A" w:rsidP="00456AE8">
      <w:pPr>
        <w:jc w:val="both"/>
        <w:rPr>
          <w:rFonts w:ascii="Arial" w:hAnsi="Arial" w:cs="Arial"/>
        </w:rPr>
      </w:pPr>
      <w:r w:rsidRPr="00456AE8">
        <w:rPr>
          <w:rFonts w:ascii="Arial" w:hAnsi="Arial" w:cs="Arial"/>
          <w:b/>
          <w:bCs/>
          <w:u w:val="single"/>
        </w:rPr>
        <w:t>Antijuricidad</w:t>
      </w:r>
      <w:r w:rsidRPr="00456AE8">
        <w:rPr>
          <w:rFonts w:ascii="Arial" w:hAnsi="Arial" w:cs="Arial"/>
        </w:rPr>
        <w:t>.</w:t>
      </w:r>
    </w:p>
    <w:p w14:paraId="4CEADEEC" w14:textId="34EBC950" w:rsidR="0037621A" w:rsidRPr="00456AE8" w:rsidRDefault="009F658A" w:rsidP="00456AE8">
      <w:pPr>
        <w:jc w:val="both"/>
        <w:rPr>
          <w:rFonts w:ascii="Arial" w:hAnsi="Arial" w:cs="Arial"/>
        </w:rPr>
      </w:pPr>
      <w:r w:rsidRPr="00456AE8">
        <w:rPr>
          <w:rFonts w:ascii="Arial" w:hAnsi="Arial" w:cs="Arial"/>
        </w:rPr>
        <w:t>Nos adentraremos en las causales más importantes de justificación de la antijuridicidad, construidas como preceptos generales, encontrándose agrupadas en la parte general del código penal, precisamente, en el artículo 34.</w:t>
      </w:r>
    </w:p>
    <w:p w14:paraId="6CAFB240" w14:textId="2B0FF037" w:rsidR="009F658A" w:rsidRPr="00456AE8" w:rsidRDefault="009F658A" w:rsidP="00456AE8">
      <w:pPr>
        <w:jc w:val="both"/>
        <w:rPr>
          <w:rFonts w:ascii="Arial" w:hAnsi="Arial" w:cs="Arial"/>
        </w:rPr>
      </w:pPr>
      <w:r w:rsidRPr="00456AE8">
        <w:rPr>
          <w:rFonts w:ascii="Arial" w:hAnsi="Arial" w:cs="Arial"/>
        </w:rPr>
        <w:t xml:space="preserve">Cuando un comportamiento típico encuadra objetivamente en una causa de justificación, quiere decir que el autor, invariablemente, con su conducta, ha vulnerado intereses sociales o bienes jurídicos de menor jerarquía, para salvaguardar los de mayor relevancia. Por ejemplo, para poner a salvo </w:t>
      </w:r>
      <w:r w:rsidR="008D5C20" w:rsidRPr="00456AE8">
        <w:rPr>
          <w:rFonts w:ascii="Arial" w:hAnsi="Arial" w:cs="Arial"/>
        </w:rPr>
        <w:t xml:space="preserve">el bien jurídico de la vida, con su comportamiento, que afecte la propiedad ajena. </w:t>
      </w:r>
    </w:p>
    <w:p w14:paraId="33443F62" w14:textId="7F892C99" w:rsidR="008D5C20" w:rsidRPr="00456AE8" w:rsidRDefault="008D5C20" w:rsidP="00456AE8">
      <w:pPr>
        <w:jc w:val="both"/>
        <w:rPr>
          <w:rFonts w:ascii="Arial" w:hAnsi="Arial" w:cs="Arial"/>
        </w:rPr>
      </w:pPr>
      <w:r w:rsidRPr="00456AE8">
        <w:rPr>
          <w:rFonts w:ascii="Arial" w:hAnsi="Arial" w:cs="Arial"/>
        </w:rPr>
        <w:t xml:space="preserve">Entonces, </w:t>
      </w:r>
      <w:r w:rsidRPr="00456AE8">
        <w:rPr>
          <w:rFonts w:ascii="Arial" w:hAnsi="Arial" w:cs="Arial"/>
          <w:u w:val="single"/>
        </w:rPr>
        <w:t>como regla general, todo aquel que obra en situación justificante</w:t>
      </w:r>
      <w:r w:rsidRPr="00456AE8">
        <w:rPr>
          <w:rFonts w:ascii="Arial" w:hAnsi="Arial" w:cs="Arial"/>
        </w:rPr>
        <w:t>:</w:t>
      </w:r>
    </w:p>
    <w:p w14:paraId="096A4C33" w14:textId="30EE99D2" w:rsidR="008D5C20" w:rsidRPr="00456AE8" w:rsidRDefault="008D5C20" w:rsidP="00456AE8">
      <w:pPr>
        <w:jc w:val="both"/>
        <w:rPr>
          <w:rFonts w:ascii="Arial" w:hAnsi="Arial" w:cs="Arial"/>
        </w:rPr>
      </w:pPr>
      <w:r w:rsidRPr="00456AE8">
        <w:rPr>
          <w:rFonts w:ascii="Arial" w:hAnsi="Arial" w:cs="Arial"/>
        </w:rPr>
        <w:sym w:font="Symbol" w:char="F0DE"/>
      </w:r>
      <w:r w:rsidRPr="00456AE8">
        <w:rPr>
          <w:rFonts w:ascii="Arial" w:hAnsi="Arial" w:cs="Arial"/>
        </w:rPr>
        <w:t xml:space="preserve"> Afecta intereses o bienes jurídicos de menor importancia, para resguardar de los de mayor relevancia. Por lo tanto: </w:t>
      </w:r>
    </w:p>
    <w:p w14:paraId="46411E91" w14:textId="79DB1830" w:rsidR="008D5C20" w:rsidRPr="00456AE8" w:rsidRDefault="008D5C20" w:rsidP="00456AE8">
      <w:pPr>
        <w:jc w:val="both"/>
        <w:rPr>
          <w:rFonts w:ascii="Arial" w:hAnsi="Arial" w:cs="Arial"/>
        </w:rPr>
      </w:pPr>
      <w:r w:rsidRPr="00456AE8">
        <w:rPr>
          <w:rFonts w:ascii="Arial" w:hAnsi="Arial" w:cs="Arial"/>
        </w:rPr>
        <w:sym w:font="Symbol" w:char="F0DE"/>
      </w:r>
      <w:r w:rsidRPr="00456AE8">
        <w:rPr>
          <w:rFonts w:ascii="Arial" w:hAnsi="Arial" w:cs="Arial"/>
        </w:rPr>
        <w:t xml:space="preserve"> El disvalor del resultado (lesividad), propio de la acción típica se neutraliza por completo mediante la salvaguarda</w:t>
      </w:r>
      <w:r w:rsidR="00C83A7A" w:rsidRPr="00456AE8">
        <w:rPr>
          <w:rFonts w:ascii="Arial" w:hAnsi="Arial" w:cs="Arial"/>
        </w:rPr>
        <w:t xml:space="preserve"> de los intereses o bienes jurídicos de mayor importancia, característico de toda causa de justificación. Ello lleva a:</w:t>
      </w:r>
    </w:p>
    <w:p w14:paraId="36A544C2" w14:textId="2DA90C78" w:rsidR="00C83A7A" w:rsidRPr="00456AE8" w:rsidRDefault="00C83A7A" w:rsidP="00456AE8">
      <w:pPr>
        <w:jc w:val="both"/>
        <w:rPr>
          <w:rFonts w:ascii="Arial" w:hAnsi="Arial" w:cs="Arial"/>
        </w:rPr>
      </w:pPr>
      <w:r w:rsidRPr="00456AE8">
        <w:rPr>
          <w:rFonts w:ascii="Arial" w:hAnsi="Arial" w:cs="Arial"/>
        </w:rPr>
        <w:sym w:font="Symbol" w:char="F0DE"/>
      </w:r>
      <w:r w:rsidRPr="00456AE8">
        <w:rPr>
          <w:rFonts w:ascii="Arial" w:hAnsi="Arial" w:cs="Arial"/>
        </w:rPr>
        <w:t>En toda situación justificante, no solo se compensa todo el disvalor del resultado como exigencia del injusto, sino que, en la ponderación de bienes (sacrificados y salvados), existe en verdad una ganancia para el ordenamiento jurídico. Por ello:</w:t>
      </w:r>
    </w:p>
    <w:p w14:paraId="20E7AAA4" w14:textId="50DD969A" w:rsidR="00C83A7A" w:rsidRPr="00456AE8" w:rsidRDefault="00C83A7A" w:rsidP="00456AE8">
      <w:pPr>
        <w:jc w:val="both"/>
        <w:rPr>
          <w:rFonts w:ascii="Arial" w:hAnsi="Arial" w:cs="Arial"/>
        </w:rPr>
      </w:pPr>
      <w:r w:rsidRPr="00456AE8">
        <w:rPr>
          <w:rFonts w:ascii="Arial" w:hAnsi="Arial" w:cs="Arial"/>
        </w:rPr>
        <w:sym w:font="Symbol" w:char="F0DE"/>
      </w:r>
      <w:r w:rsidRPr="00456AE8">
        <w:rPr>
          <w:rFonts w:ascii="Arial" w:hAnsi="Arial" w:cs="Arial"/>
        </w:rPr>
        <w:t>Toda conducta típica, que se enmarca en una causa de justificación resulta conforme a derecho. O lo que es lo mismo, no es antijuridica.</w:t>
      </w:r>
    </w:p>
    <w:p w14:paraId="4D2743CB" w14:textId="47E2D0F3" w:rsidR="00C83A7A" w:rsidRPr="00456AE8" w:rsidRDefault="00C83A7A" w:rsidP="00456AE8">
      <w:pPr>
        <w:jc w:val="both"/>
        <w:rPr>
          <w:rFonts w:ascii="Arial" w:hAnsi="Arial" w:cs="Arial"/>
        </w:rPr>
      </w:pPr>
      <w:r w:rsidRPr="00456AE8">
        <w:rPr>
          <w:rFonts w:ascii="Arial" w:hAnsi="Arial" w:cs="Arial"/>
        </w:rPr>
        <w:sym w:font="Symbol" w:char="F0DE"/>
      </w:r>
      <w:r w:rsidRPr="00456AE8">
        <w:rPr>
          <w:rFonts w:ascii="Arial" w:hAnsi="Arial" w:cs="Arial"/>
        </w:rPr>
        <w:t xml:space="preserve"> Una causa de justificación que encuadra en un caso opera como “válvula de escape” de acuerdo con el aspecto objetivo de la antijuridicidad. El caso no supera el tercer filtro de la teoría del delito. En consecuencia:</w:t>
      </w:r>
    </w:p>
    <w:p w14:paraId="5F304607" w14:textId="6809165A" w:rsidR="00C83A7A" w:rsidRPr="00456AE8" w:rsidRDefault="00C83A7A" w:rsidP="00456AE8">
      <w:pPr>
        <w:jc w:val="both"/>
        <w:rPr>
          <w:rFonts w:ascii="Arial" w:hAnsi="Arial" w:cs="Arial"/>
        </w:rPr>
      </w:pPr>
      <w:r w:rsidRPr="00456AE8">
        <w:rPr>
          <w:rFonts w:ascii="Arial" w:hAnsi="Arial" w:cs="Arial"/>
        </w:rPr>
        <w:sym w:font="Symbol" w:char="F0DE"/>
      </w:r>
      <w:r w:rsidRPr="00456AE8">
        <w:rPr>
          <w:rFonts w:ascii="Arial" w:hAnsi="Arial" w:cs="Arial"/>
        </w:rPr>
        <w:t>Pese a apreciarse completa la tipicidad, no habrá injusto. El caso quedara marginado del interés penal.</w:t>
      </w:r>
    </w:p>
    <w:p w14:paraId="31193A53" w14:textId="329319C2" w:rsidR="00C83A7A" w:rsidRPr="00456AE8" w:rsidRDefault="00C83A7A" w:rsidP="00456AE8">
      <w:pPr>
        <w:jc w:val="both"/>
        <w:rPr>
          <w:rFonts w:ascii="Arial" w:hAnsi="Arial" w:cs="Arial"/>
        </w:rPr>
      </w:pPr>
      <w:r w:rsidRPr="00456AE8">
        <w:rPr>
          <w:rFonts w:ascii="Arial" w:hAnsi="Arial" w:cs="Arial"/>
        </w:rPr>
        <w:t xml:space="preserve">Debemos recordar, que cuando nos referimos a las causas de justificación, no estamos ante situaciones fomentadas por el ordenamiento social, sino que </w:t>
      </w:r>
      <w:r w:rsidR="005377E0" w:rsidRPr="00456AE8">
        <w:rPr>
          <w:rFonts w:ascii="Arial" w:hAnsi="Arial" w:cs="Arial"/>
        </w:rPr>
        <w:t>todo lo más, podremos decir, que se trata de situaciones toleradas.</w:t>
      </w:r>
    </w:p>
    <w:p w14:paraId="24C2FAF7" w14:textId="5254C68C" w:rsidR="005377E0" w:rsidRPr="00456AE8" w:rsidRDefault="005377E0" w:rsidP="00456AE8">
      <w:pPr>
        <w:jc w:val="both"/>
        <w:rPr>
          <w:rFonts w:ascii="Arial" w:hAnsi="Arial" w:cs="Arial"/>
        </w:rPr>
      </w:pPr>
      <w:r w:rsidRPr="00456AE8">
        <w:rPr>
          <w:rFonts w:ascii="Arial" w:hAnsi="Arial" w:cs="Arial"/>
        </w:rPr>
        <w:t>Ello es así, ya que, en este tipo de situaciones, a partir de la actuación de quien ejerce la causal justificante, siempre alguien se ve afectado en sus bienes jurídicos, y esto es algo que nunca puede ser fomentado socialmente.</w:t>
      </w:r>
    </w:p>
    <w:p w14:paraId="74FA763A" w14:textId="32856650" w:rsidR="005377E0" w:rsidRPr="00456AE8" w:rsidRDefault="005377E0" w:rsidP="00456AE8">
      <w:pPr>
        <w:jc w:val="both"/>
        <w:rPr>
          <w:rFonts w:ascii="Arial" w:hAnsi="Arial" w:cs="Arial"/>
        </w:rPr>
      </w:pPr>
      <w:r w:rsidRPr="00456AE8">
        <w:rPr>
          <w:rFonts w:ascii="Arial" w:hAnsi="Arial" w:cs="Arial"/>
        </w:rPr>
        <w:t xml:space="preserve">Para el ordenamiento jurídico en su conjunto, siempre será deseable evitar la situación de conflicto de intereses, pero cuando esto resulta inevitable, porque colisionan entre sí, la regla general habrá de ser siempre preservar los intereses </w:t>
      </w:r>
      <w:r w:rsidRPr="00456AE8">
        <w:rPr>
          <w:rFonts w:ascii="Arial" w:hAnsi="Arial" w:cs="Arial"/>
        </w:rPr>
        <w:lastRenderedPageBreak/>
        <w:t xml:space="preserve">más valiosos, en desmedro de los de menor relevancia. </w:t>
      </w:r>
      <w:r w:rsidR="001A5E2D">
        <w:rPr>
          <w:rFonts w:ascii="Arial" w:hAnsi="Arial" w:cs="Arial"/>
        </w:rPr>
        <w:t xml:space="preserve">Todo esto, sin dejar de lado, que </w:t>
      </w:r>
      <w:r w:rsidR="001A5E2D" w:rsidRPr="00510758">
        <w:rPr>
          <w:rFonts w:ascii="Arial" w:hAnsi="Arial" w:cs="Arial"/>
          <w:b/>
          <w:bCs/>
        </w:rPr>
        <w:t xml:space="preserve">pueden existir situaciones en las cuales los bienes jurídicos protegidos, sean de igual valor o mismo de mayor que el que se defiende, siempre que se intente repeler un injusto </w:t>
      </w:r>
      <w:r w:rsidR="001A5E2D">
        <w:rPr>
          <w:rFonts w:ascii="Arial" w:hAnsi="Arial" w:cs="Arial"/>
        </w:rPr>
        <w:t xml:space="preserve">(siempre y cuando exista una proporción en los medios empleados para la defensa del bien </w:t>
      </w:r>
      <w:r w:rsidR="00510758">
        <w:rPr>
          <w:rFonts w:ascii="Arial" w:hAnsi="Arial" w:cs="Arial"/>
        </w:rPr>
        <w:t>jurídico</w:t>
      </w:r>
      <w:r w:rsidR="001A5E2D">
        <w:rPr>
          <w:rFonts w:ascii="Arial" w:hAnsi="Arial" w:cs="Arial"/>
        </w:rPr>
        <w:t xml:space="preserve"> afectado).</w:t>
      </w:r>
      <w:r w:rsidR="00510758">
        <w:rPr>
          <w:rFonts w:ascii="Arial" w:hAnsi="Arial" w:cs="Arial"/>
        </w:rPr>
        <w:t xml:space="preserve"> Dicho esto, y concurridos los requisitos legales anteriores, la doctrina mayoritaria exige que el sujeto (victima), actúe con el conocimiento de la situación de peligro real y con la intención/voluntad de repeler la agresión (conciencia de defenderse). </w:t>
      </w:r>
    </w:p>
    <w:p w14:paraId="25934F24" w14:textId="77777777" w:rsidR="005377E0" w:rsidRPr="00456AE8" w:rsidRDefault="005377E0" w:rsidP="00456AE8">
      <w:pPr>
        <w:jc w:val="both"/>
        <w:rPr>
          <w:rFonts w:ascii="Arial" w:hAnsi="Arial" w:cs="Arial"/>
        </w:rPr>
      </w:pPr>
    </w:p>
    <w:p w14:paraId="584B7E30" w14:textId="6C6D9D83" w:rsidR="005377E0" w:rsidRPr="00456AE8" w:rsidRDefault="005377E0" w:rsidP="00456AE8">
      <w:pPr>
        <w:jc w:val="both"/>
        <w:rPr>
          <w:rFonts w:ascii="Arial" w:hAnsi="Arial" w:cs="Arial"/>
          <w:b/>
          <w:bCs/>
          <w:u w:val="single"/>
        </w:rPr>
      </w:pPr>
      <w:r w:rsidRPr="00456AE8">
        <w:rPr>
          <w:rFonts w:ascii="Arial" w:hAnsi="Arial" w:cs="Arial"/>
          <w:b/>
          <w:bCs/>
          <w:u w:val="single"/>
        </w:rPr>
        <w:t>LEGITIMA DEFENSA:</w:t>
      </w:r>
    </w:p>
    <w:p w14:paraId="2A3E2ECB" w14:textId="6FC04DFB" w:rsidR="005377E0" w:rsidRPr="00456AE8" w:rsidRDefault="005377E0" w:rsidP="00456AE8">
      <w:pPr>
        <w:jc w:val="both"/>
        <w:rPr>
          <w:rFonts w:ascii="Arial" w:hAnsi="Arial" w:cs="Arial"/>
        </w:rPr>
      </w:pPr>
      <w:r w:rsidRPr="00456AE8">
        <w:rPr>
          <w:rFonts w:ascii="Arial" w:hAnsi="Arial" w:cs="Arial"/>
        </w:rPr>
        <w:t>Esta causa de justificación está consagrada en el artículo 34, del código penal.</w:t>
      </w:r>
    </w:p>
    <w:p w14:paraId="292C4AF1" w14:textId="1299AE26" w:rsidR="005377E0" w:rsidRPr="00456AE8" w:rsidRDefault="005377E0" w:rsidP="00456AE8">
      <w:pPr>
        <w:jc w:val="both"/>
        <w:rPr>
          <w:rFonts w:ascii="Arial" w:hAnsi="Arial" w:cs="Arial"/>
        </w:rPr>
      </w:pPr>
      <w:r w:rsidRPr="00456AE8">
        <w:rPr>
          <w:rFonts w:ascii="Arial" w:hAnsi="Arial" w:cs="Arial"/>
        </w:rPr>
        <w:t>Para desarrollar los pormenores de este importante permiso que regula el código penal, debemos partir de la expresa letra de la ley, que no solo enumera los elementos requeridos para su conformación como causa de justificación, sino que además, toma partido por una postura amplia en algunos aspectos (por ejemplo, respecto de las personas y derechos susceptibles de ser defendidos), combinado con una posición más restrictiva en otros (por ejemplo, la exigencia de racionalidad en el medio empleado para defenderse)</w:t>
      </w:r>
    </w:p>
    <w:p w14:paraId="0C5A1C8D" w14:textId="464EE4E7" w:rsidR="005377E0" w:rsidRPr="00456AE8" w:rsidRDefault="005377E0" w:rsidP="00456AE8">
      <w:pPr>
        <w:jc w:val="both"/>
        <w:rPr>
          <w:rFonts w:ascii="Arial" w:hAnsi="Arial" w:cs="Arial"/>
        </w:rPr>
      </w:pPr>
      <w:r w:rsidRPr="00456AE8">
        <w:rPr>
          <w:rFonts w:ascii="Arial" w:hAnsi="Arial" w:cs="Arial"/>
        </w:rPr>
        <w:t>Articulo 34, inc.6 del CP, establece la legitima defensa propia, al consagrar que no será punible:</w:t>
      </w:r>
    </w:p>
    <w:p w14:paraId="41C5410F" w14:textId="3F161755" w:rsidR="00415B88" w:rsidRPr="00456AE8" w:rsidRDefault="00415B88" w:rsidP="00456AE8">
      <w:pPr>
        <w:jc w:val="both"/>
        <w:rPr>
          <w:rFonts w:ascii="Arial" w:hAnsi="Arial" w:cs="Arial"/>
        </w:rPr>
      </w:pPr>
      <w:r w:rsidRPr="00456AE8">
        <w:rPr>
          <w:rFonts w:ascii="Arial" w:hAnsi="Arial" w:cs="Arial"/>
        </w:rPr>
        <w:t>“El que obrare en defensa propia o de sus derechos, siempre que concurrieren las siguientes circunstancias:</w:t>
      </w:r>
    </w:p>
    <w:p w14:paraId="40E287D1" w14:textId="732AD9A9" w:rsidR="00415B88" w:rsidRPr="00456AE8" w:rsidRDefault="00415B88" w:rsidP="00456AE8">
      <w:pPr>
        <w:pStyle w:val="Prrafodelista"/>
        <w:numPr>
          <w:ilvl w:val="0"/>
          <w:numId w:val="1"/>
        </w:numPr>
        <w:jc w:val="both"/>
        <w:rPr>
          <w:rFonts w:ascii="Arial" w:hAnsi="Arial" w:cs="Arial"/>
        </w:rPr>
      </w:pPr>
      <w:r w:rsidRPr="00456AE8">
        <w:rPr>
          <w:rFonts w:ascii="Arial" w:hAnsi="Arial" w:cs="Arial"/>
        </w:rPr>
        <w:t>Agresión ilegitima;</w:t>
      </w:r>
    </w:p>
    <w:p w14:paraId="1A4D3498" w14:textId="0AF0C359" w:rsidR="00415B88" w:rsidRPr="00456AE8" w:rsidRDefault="00415B88" w:rsidP="00456AE8">
      <w:pPr>
        <w:pStyle w:val="Prrafodelista"/>
        <w:numPr>
          <w:ilvl w:val="0"/>
          <w:numId w:val="1"/>
        </w:numPr>
        <w:jc w:val="both"/>
        <w:rPr>
          <w:rFonts w:ascii="Arial" w:hAnsi="Arial" w:cs="Arial"/>
        </w:rPr>
      </w:pPr>
      <w:r w:rsidRPr="00456AE8">
        <w:rPr>
          <w:rFonts w:ascii="Arial" w:hAnsi="Arial" w:cs="Arial"/>
        </w:rPr>
        <w:t>Necesidad racional del medio empleado para impedirla o repelerla;</w:t>
      </w:r>
    </w:p>
    <w:p w14:paraId="2359497F" w14:textId="16FF37F4" w:rsidR="00415B88" w:rsidRPr="00456AE8" w:rsidRDefault="00415B88" w:rsidP="00456AE8">
      <w:pPr>
        <w:pStyle w:val="Prrafodelista"/>
        <w:numPr>
          <w:ilvl w:val="0"/>
          <w:numId w:val="1"/>
        </w:numPr>
        <w:jc w:val="both"/>
        <w:rPr>
          <w:rFonts w:ascii="Arial" w:hAnsi="Arial" w:cs="Arial"/>
        </w:rPr>
      </w:pPr>
      <w:r w:rsidRPr="00456AE8">
        <w:rPr>
          <w:rFonts w:ascii="Arial" w:hAnsi="Arial" w:cs="Arial"/>
        </w:rPr>
        <w:t>Falta de provocación suficiente por parte del que se defiende”</w:t>
      </w:r>
    </w:p>
    <w:p w14:paraId="7BDB270F" w14:textId="097D517F" w:rsidR="00415B88" w:rsidRPr="00456AE8" w:rsidRDefault="00415B88" w:rsidP="00456AE8">
      <w:pPr>
        <w:jc w:val="both"/>
        <w:rPr>
          <w:rFonts w:ascii="Arial" w:hAnsi="Arial" w:cs="Arial"/>
        </w:rPr>
      </w:pPr>
      <w:r w:rsidRPr="00456AE8">
        <w:rPr>
          <w:rFonts w:ascii="Arial" w:hAnsi="Arial" w:cs="Arial"/>
        </w:rPr>
        <w:t>Se entenderá que concurren estas circunstancias respecto de aquel que durante la noche rechazare el escalamiento o fractura de cercados, paredes o entradas de su casa, o departamento habitado o de sus dependencias, cualquiera que sea el daño ocasionado al agresor”</w:t>
      </w:r>
    </w:p>
    <w:p w14:paraId="3E192052" w14:textId="11BF9724" w:rsidR="00415B88" w:rsidRPr="00456AE8" w:rsidRDefault="00415B88" w:rsidP="00456AE8">
      <w:pPr>
        <w:jc w:val="both"/>
        <w:rPr>
          <w:rFonts w:ascii="Arial" w:hAnsi="Arial" w:cs="Arial"/>
        </w:rPr>
      </w:pPr>
      <w:r w:rsidRPr="00456AE8">
        <w:rPr>
          <w:rFonts w:ascii="Arial" w:hAnsi="Arial" w:cs="Arial"/>
        </w:rPr>
        <w:t>Igualmente, respecto de aquel que encontrare a un extraño dentro de su hogar, siempre que haya resistencia”.</w:t>
      </w:r>
    </w:p>
    <w:p w14:paraId="2B417F5B" w14:textId="78C1EB04" w:rsidR="00415B88" w:rsidRPr="00456AE8" w:rsidRDefault="00415B88" w:rsidP="00456AE8">
      <w:pPr>
        <w:jc w:val="both"/>
        <w:rPr>
          <w:rFonts w:ascii="Arial" w:hAnsi="Arial" w:cs="Arial"/>
        </w:rPr>
      </w:pPr>
      <w:r w:rsidRPr="00456AE8">
        <w:rPr>
          <w:rFonts w:ascii="Arial" w:hAnsi="Arial" w:cs="Arial"/>
        </w:rPr>
        <w:t>Mientras que el articulo 34 inc.7, extiende el alcance de la justificación a la llamada legitima defensa de terceros, al establecer que no será punible:</w:t>
      </w:r>
    </w:p>
    <w:p w14:paraId="6183ABF1" w14:textId="426200AC" w:rsidR="00415B88" w:rsidRPr="00456AE8" w:rsidRDefault="00415B88" w:rsidP="00456AE8">
      <w:pPr>
        <w:jc w:val="both"/>
        <w:rPr>
          <w:rFonts w:ascii="Arial" w:hAnsi="Arial" w:cs="Arial"/>
        </w:rPr>
      </w:pPr>
      <w:r w:rsidRPr="00456AE8">
        <w:rPr>
          <w:rFonts w:ascii="Arial" w:hAnsi="Arial" w:cs="Arial"/>
        </w:rPr>
        <w:t xml:space="preserve">“El que obrare en defensa de la persona o derechos de otro, siempre que concurran las circunstancias a y b del inciso anterior y en caso de haber precedido provocación </w:t>
      </w:r>
      <w:r w:rsidRPr="00456AE8">
        <w:rPr>
          <w:rFonts w:ascii="Arial" w:hAnsi="Arial" w:cs="Arial"/>
        </w:rPr>
        <w:lastRenderedPageBreak/>
        <w:t>suficiente por parte del agredido, la de que no haya participado en ella el tercero defensor”.</w:t>
      </w:r>
    </w:p>
    <w:p w14:paraId="2E1B1315" w14:textId="288325B4" w:rsidR="00415B88" w:rsidRPr="00456AE8" w:rsidRDefault="00415B88" w:rsidP="00456AE8">
      <w:pPr>
        <w:jc w:val="both"/>
        <w:rPr>
          <w:rFonts w:ascii="Arial" w:hAnsi="Arial" w:cs="Arial"/>
        </w:rPr>
      </w:pPr>
      <w:r w:rsidRPr="00456AE8">
        <w:rPr>
          <w:rFonts w:ascii="Arial" w:hAnsi="Arial" w:cs="Arial"/>
        </w:rPr>
        <w:t xml:space="preserve">La legitima defensa es un permiso, por el cual el Estado le reconoce a todo ciudadano allí cuando no se encuentra presente la autoridad, el derecho de defender -en forma racional- bienes jurídicos individuales (propios o de terceros), frente al </w:t>
      </w:r>
      <w:proofErr w:type="spellStart"/>
      <w:r w:rsidRPr="00456AE8">
        <w:rPr>
          <w:rFonts w:ascii="Arial" w:hAnsi="Arial" w:cs="Arial"/>
        </w:rPr>
        <w:t>ocasionamiento</w:t>
      </w:r>
      <w:proofErr w:type="spellEnd"/>
      <w:r w:rsidRPr="00456AE8">
        <w:rPr>
          <w:rFonts w:ascii="Arial" w:hAnsi="Arial" w:cs="Arial"/>
        </w:rPr>
        <w:t xml:space="preserve"> de una agresión antijuridica (que no se ha provocado), siempre y cuando dicha agresión no haya cesado. </w:t>
      </w:r>
    </w:p>
    <w:p w14:paraId="3D0713D0" w14:textId="6F922F09" w:rsidR="00347C91" w:rsidRPr="00456AE8" w:rsidRDefault="00347C91" w:rsidP="00456AE8">
      <w:pPr>
        <w:jc w:val="both"/>
        <w:rPr>
          <w:rFonts w:ascii="Arial" w:hAnsi="Arial" w:cs="Arial"/>
        </w:rPr>
      </w:pPr>
      <w:r w:rsidRPr="00456AE8">
        <w:rPr>
          <w:rFonts w:ascii="Arial" w:hAnsi="Arial" w:cs="Arial"/>
        </w:rPr>
        <w:t xml:space="preserve">En cuanto a los autores que pueden quedar inmersos en un contexto de legitima defensa, este precepto se aplica no solo al ciudadano común, sino también a las fuerzas de seguridad, allí cuando intervienen, en el ejercicio de sus funciones, en defensa de una víctima de un delito de acción pública en situación de flagrancia, o también, según el caso, en defensa propia, frente a agresiones antijuridicas de las cuales pueden ser destinatarios. </w:t>
      </w:r>
    </w:p>
    <w:p w14:paraId="28A90842" w14:textId="0AA5B198" w:rsidR="00347C91" w:rsidRPr="00456AE8" w:rsidRDefault="00347C91" w:rsidP="00456AE8">
      <w:pPr>
        <w:jc w:val="both"/>
        <w:rPr>
          <w:rFonts w:ascii="Arial" w:hAnsi="Arial" w:cs="Arial"/>
        </w:rPr>
      </w:pPr>
      <w:r w:rsidRPr="00456AE8">
        <w:rPr>
          <w:rFonts w:ascii="Arial" w:hAnsi="Arial" w:cs="Arial"/>
        </w:rPr>
        <w:t>Principios que la regulan:</w:t>
      </w:r>
    </w:p>
    <w:p w14:paraId="781A1E49" w14:textId="1DFF6021" w:rsidR="00347C91" w:rsidRPr="00456AE8" w:rsidRDefault="00347C91" w:rsidP="00456AE8">
      <w:pPr>
        <w:jc w:val="both"/>
        <w:rPr>
          <w:rFonts w:ascii="Arial" w:hAnsi="Arial" w:cs="Arial"/>
        </w:rPr>
      </w:pPr>
      <w:r w:rsidRPr="00456AE8">
        <w:rPr>
          <w:rFonts w:ascii="Arial" w:hAnsi="Arial" w:cs="Arial"/>
        </w:rPr>
        <w:t xml:space="preserve">La legitima defensa se caracteriza por combinar tres principios: el de la defensa, el de </w:t>
      </w:r>
      <w:proofErr w:type="spellStart"/>
      <w:r w:rsidRPr="00456AE8">
        <w:rPr>
          <w:rFonts w:ascii="Arial" w:hAnsi="Arial" w:cs="Arial"/>
        </w:rPr>
        <w:t>prevalecimiento</w:t>
      </w:r>
      <w:proofErr w:type="spellEnd"/>
      <w:r w:rsidRPr="00456AE8">
        <w:rPr>
          <w:rFonts w:ascii="Arial" w:hAnsi="Arial" w:cs="Arial"/>
        </w:rPr>
        <w:t xml:space="preserve"> del derecho y el de la racionalidad del medio empleado. </w:t>
      </w:r>
    </w:p>
    <w:p w14:paraId="4A86E870" w14:textId="4865230F" w:rsidR="00347C91" w:rsidRPr="00456AE8" w:rsidRDefault="00347C91" w:rsidP="00456AE8">
      <w:pPr>
        <w:jc w:val="both"/>
        <w:rPr>
          <w:rFonts w:ascii="Arial" w:hAnsi="Arial" w:cs="Arial"/>
        </w:rPr>
      </w:pPr>
      <w:r w:rsidRPr="00456AE8">
        <w:rPr>
          <w:rFonts w:ascii="Arial" w:hAnsi="Arial" w:cs="Arial"/>
        </w:rPr>
        <w:sym w:font="Symbol" w:char="F0DE"/>
      </w:r>
      <w:r w:rsidRPr="00456AE8">
        <w:rPr>
          <w:rFonts w:ascii="Arial" w:hAnsi="Arial" w:cs="Arial"/>
        </w:rPr>
        <w:t xml:space="preserve"> </w:t>
      </w:r>
      <w:r w:rsidRPr="00456AE8">
        <w:rPr>
          <w:rFonts w:ascii="Arial" w:hAnsi="Arial" w:cs="Arial"/>
          <w:b/>
          <w:bCs/>
          <w:u w:val="single"/>
        </w:rPr>
        <w:t>Principio de defensa</w:t>
      </w:r>
      <w:r w:rsidRPr="00456AE8">
        <w:rPr>
          <w:rFonts w:ascii="Arial" w:hAnsi="Arial" w:cs="Arial"/>
        </w:rPr>
        <w:t xml:space="preserve">: Este principio, también llamado de </w:t>
      </w:r>
      <w:proofErr w:type="gramStart"/>
      <w:r w:rsidRPr="00456AE8">
        <w:rPr>
          <w:rFonts w:ascii="Arial" w:hAnsi="Arial" w:cs="Arial"/>
        </w:rPr>
        <w:t>auto-tutela</w:t>
      </w:r>
      <w:proofErr w:type="gramEnd"/>
      <w:r w:rsidRPr="00456AE8">
        <w:rPr>
          <w:rFonts w:ascii="Arial" w:hAnsi="Arial" w:cs="Arial"/>
        </w:rPr>
        <w:t xml:space="preserve">, parte de la consigna, de que las autoridades estatales no pueden estar presentes al mismo tiempo en todos lados, ni garantizar en todo momento la protección ciudadana en términos absolutos. </w:t>
      </w:r>
    </w:p>
    <w:p w14:paraId="4A7E5017" w14:textId="6E44F840" w:rsidR="00347C91" w:rsidRPr="00456AE8" w:rsidRDefault="00347C91" w:rsidP="00456AE8">
      <w:pPr>
        <w:jc w:val="both"/>
        <w:rPr>
          <w:rFonts w:ascii="Arial" w:hAnsi="Arial" w:cs="Arial"/>
        </w:rPr>
      </w:pPr>
      <w:r w:rsidRPr="00456AE8">
        <w:rPr>
          <w:rFonts w:ascii="Arial" w:hAnsi="Arial" w:cs="Arial"/>
        </w:rPr>
        <w:t>Por lo cual, frente a una agresión de carácter antijuridica contra bienes jurídicos individuales, allí donde no esté presente la autoridad para acudir en auxilio, es posible entonces ejercer una defensa, que impida o rechace dicha agresión, sea esta inminente, o bien, que ya esté en curso (y previo a su consumación).</w:t>
      </w:r>
    </w:p>
    <w:p w14:paraId="54BC5E26" w14:textId="2DDFED6A" w:rsidR="00347C91" w:rsidRPr="00456AE8" w:rsidRDefault="00347C91" w:rsidP="00456AE8">
      <w:pPr>
        <w:jc w:val="both"/>
        <w:rPr>
          <w:rFonts w:ascii="Arial" w:hAnsi="Arial" w:cs="Arial"/>
        </w:rPr>
      </w:pPr>
      <w:r w:rsidRPr="00456AE8">
        <w:rPr>
          <w:rFonts w:ascii="Arial" w:hAnsi="Arial" w:cs="Arial"/>
        </w:rPr>
        <w:t xml:space="preserve">En otras palabras, el principio de defensa establece que todos estamos autorizados por el ordenamiento a defender la indemnidad de bienes jurídicos individuales (vida, integridad física y sexual, libertad, dignidad, honor, intimidad del domicilio), propios o de terceras personas, allí cuando no esté presente, o no sea posible que lo haga, la </w:t>
      </w:r>
      <w:r w:rsidR="00D13F1C" w:rsidRPr="00456AE8">
        <w:rPr>
          <w:rFonts w:ascii="Arial" w:hAnsi="Arial" w:cs="Arial"/>
        </w:rPr>
        <w:t>autoridad</w:t>
      </w:r>
      <w:r w:rsidRPr="00456AE8">
        <w:rPr>
          <w:rFonts w:ascii="Arial" w:hAnsi="Arial" w:cs="Arial"/>
        </w:rPr>
        <w:t xml:space="preserve"> (policía u otros).</w:t>
      </w:r>
    </w:p>
    <w:p w14:paraId="366E37CA" w14:textId="4AABC84A" w:rsidR="00347C91" w:rsidRPr="00456AE8" w:rsidRDefault="00D13F1C" w:rsidP="00456AE8">
      <w:pPr>
        <w:jc w:val="both"/>
        <w:rPr>
          <w:rFonts w:ascii="Arial" w:hAnsi="Arial" w:cs="Arial"/>
        </w:rPr>
      </w:pPr>
      <w:r w:rsidRPr="00456AE8">
        <w:rPr>
          <w:rFonts w:ascii="Arial" w:hAnsi="Arial" w:cs="Arial"/>
        </w:rPr>
        <w:t xml:space="preserve">Para el caso en que el ataque antijuridico lo sea respecto de bienes jurídicos colectivos (el medio ambiente, a la seguridad común, etc.), no podremos ejercer legitima defensa, sino, a lo sumo, estado de necesidad justificante, causal esta de menor amplitud, en las posibilidades defensivas de quien la ejerce. </w:t>
      </w:r>
    </w:p>
    <w:p w14:paraId="5D62C0DF" w14:textId="1412E23E" w:rsidR="00D13F1C" w:rsidRPr="00456AE8" w:rsidRDefault="00D13F1C" w:rsidP="00456AE8">
      <w:pPr>
        <w:jc w:val="both"/>
        <w:rPr>
          <w:rFonts w:ascii="Arial" w:hAnsi="Arial" w:cs="Arial"/>
        </w:rPr>
      </w:pPr>
      <w:r w:rsidRPr="00456AE8">
        <w:rPr>
          <w:rFonts w:ascii="Arial" w:hAnsi="Arial" w:cs="Arial"/>
        </w:rPr>
        <w:t xml:space="preserve">La regulación </w:t>
      </w:r>
      <w:r w:rsidRPr="00456AE8">
        <w:rPr>
          <w:rFonts w:ascii="Arial" w:hAnsi="Arial" w:cs="Arial"/>
          <w:b/>
          <w:bCs/>
        </w:rPr>
        <w:t>penal</w:t>
      </w:r>
      <w:r w:rsidRPr="00456AE8">
        <w:rPr>
          <w:rFonts w:ascii="Arial" w:hAnsi="Arial" w:cs="Arial"/>
        </w:rPr>
        <w:t xml:space="preserve"> argentina extiende el principio de defensa a los derechos propios (inciso 6) o de otros (inciso 7), allí cuando el ataque a estos constituya un delito, y los ponga en peligro grave, de deterioro o perdida inminentes. </w:t>
      </w:r>
    </w:p>
    <w:p w14:paraId="099EF054" w14:textId="50C7DA32" w:rsidR="00D13F1C" w:rsidRPr="00456AE8" w:rsidRDefault="00D13F1C" w:rsidP="00456AE8">
      <w:pPr>
        <w:jc w:val="both"/>
        <w:rPr>
          <w:rFonts w:ascii="Arial" w:hAnsi="Arial" w:cs="Arial"/>
        </w:rPr>
      </w:pPr>
      <w:r w:rsidRPr="00456AE8">
        <w:rPr>
          <w:rFonts w:ascii="Arial" w:hAnsi="Arial" w:cs="Arial"/>
        </w:rPr>
        <w:lastRenderedPageBreak/>
        <w:sym w:font="Symbol" w:char="F0DE"/>
      </w:r>
      <w:r w:rsidRPr="00456AE8">
        <w:rPr>
          <w:rFonts w:ascii="Arial" w:hAnsi="Arial" w:cs="Arial"/>
        </w:rPr>
        <w:t xml:space="preserve"> </w:t>
      </w:r>
      <w:r w:rsidRPr="00456AE8">
        <w:rPr>
          <w:rFonts w:ascii="Arial" w:hAnsi="Arial" w:cs="Arial"/>
          <w:b/>
          <w:bCs/>
          <w:u w:val="single"/>
        </w:rPr>
        <w:t xml:space="preserve">Principio de </w:t>
      </w:r>
      <w:proofErr w:type="spellStart"/>
      <w:r w:rsidRPr="00456AE8">
        <w:rPr>
          <w:rFonts w:ascii="Arial" w:hAnsi="Arial" w:cs="Arial"/>
          <w:b/>
          <w:bCs/>
          <w:u w:val="single"/>
        </w:rPr>
        <w:t>prevalecimiento</w:t>
      </w:r>
      <w:proofErr w:type="spellEnd"/>
      <w:r w:rsidRPr="00456AE8">
        <w:rPr>
          <w:rFonts w:ascii="Arial" w:hAnsi="Arial" w:cs="Arial"/>
          <w:b/>
          <w:bCs/>
          <w:u w:val="single"/>
        </w:rPr>
        <w:t xml:space="preserve"> del derecho</w:t>
      </w:r>
      <w:r w:rsidRPr="00456AE8">
        <w:rPr>
          <w:rFonts w:ascii="Arial" w:hAnsi="Arial" w:cs="Arial"/>
        </w:rPr>
        <w:t xml:space="preserve">: Este segundo principio, también llamado de preservación del derecho, es el que caracteriza particularmente a la legitima defensa, y se diferencia de las restantes causas de justificación. Este factor, además, es el que le da un mayor alcance al permiso, especialmente, en comparación con las situaciones de estado de necesidad justificante. </w:t>
      </w:r>
    </w:p>
    <w:p w14:paraId="17CFBDD8" w14:textId="38EF0474" w:rsidR="00D13F1C" w:rsidRPr="00456AE8" w:rsidRDefault="00D13F1C" w:rsidP="00456AE8">
      <w:pPr>
        <w:jc w:val="both"/>
        <w:rPr>
          <w:rFonts w:ascii="Arial" w:hAnsi="Arial" w:cs="Arial"/>
        </w:rPr>
      </w:pPr>
      <w:r w:rsidRPr="00456AE8">
        <w:rPr>
          <w:rFonts w:ascii="Arial" w:hAnsi="Arial" w:cs="Arial"/>
        </w:rPr>
        <w:t xml:space="preserve">Desde ya, que este principio no tiene carácter absoluto, sino que justamente, encuentra su límite, en la ponderación con los restantes principios, en especial, frente a la necesidad racional del medio empleado por quien ejerce la defensa de los bienes </w:t>
      </w:r>
      <w:r w:rsidR="00871875" w:rsidRPr="00456AE8">
        <w:rPr>
          <w:rFonts w:ascii="Arial" w:hAnsi="Arial" w:cs="Arial"/>
        </w:rPr>
        <w:t>jurídicos individuales, puestos en peligro a partir de una agresión</w:t>
      </w:r>
      <w:r w:rsidR="001A5E2D">
        <w:rPr>
          <w:rFonts w:ascii="Arial" w:hAnsi="Arial" w:cs="Arial"/>
        </w:rPr>
        <w:t xml:space="preserve"> </w:t>
      </w:r>
      <w:proofErr w:type="gramStart"/>
      <w:r w:rsidR="001A5E2D">
        <w:rPr>
          <w:rFonts w:ascii="Arial" w:hAnsi="Arial" w:cs="Arial"/>
        </w:rPr>
        <w:t xml:space="preserve">generalmente </w:t>
      </w:r>
      <w:r w:rsidR="00871875" w:rsidRPr="00456AE8">
        <w:rPr>
          <w:rFonts w:ascii="Arial" w:hAnsi="Arial" w:cs="Arial"/>
        </w:rPr>
        <w:t xml:space="preserve"> dolosa</w:t>
      </w:r>
      <w:proofErr w:type="gramEnd"/>
      <w:r w:rsidR="001A5E2D">
        <w:rPr>
          <w:rFonts w:ascii="Arial" w:hAnsi="Arial" w:cs="Arial"/>
        </w:rPr>
        <w:t xml:space="preserve"> (aunque la doctrina discute la admisión ante comportamientos culposos graves).</w:t>
      </w:r>
    </w:p>
    <w:p w14:paraId="19B8CA8D" w14:textId="7F4F5354" w:rsidR="00871875" w:rsidRPr="00456AE8" w:rsidRDefault="00871875" w:rsidP="00456AE8">
      <w:pPr>
        <w:jc w:val="both"/>
        <w:rPr>
          <w:rFonts w:ascii="Arial" w:hAnsi="Arial" w:cs="Arial"/>
        </w:rPr>
      </w:pPr>
      <w:r w:rsidRPr="00456AE8">
        <w:rPr>
          <w:rFonts w:ascii="Arial" w:hAnsi="Arial" w:cs="Arial"/>
        </w:rPr>
        <w:t xml:space="preserve">Hay que aclarar, que la existencia de este principio -que favorece a quien se halla en situación justificante-, no resulta de aplicación, allí cuando exista una extrema desproporción entre la afectación que se pretende evitar y la que se ocasiona (ejemplo, dispararle a alguien que se encontraba pintando un </w:t>
      </w:r>
      <w:proofErr w:type="spellStart"/>
      <w:r w:rsidRPr="00456AE8">
        <w:rPr>
          <w:rFonts w:ascii="Arial" w:hAnsi="Arial" w:cs="Arial"/>
        </w:rPr>
        <w:t>graffitis</w:t>
      </w:r>
      <w:proofErr w:type="spellEnd"/>
      <w:r w:rsidRPr="00456AE8">
        <w:rPr>
          <w:rFonts w:ascii="Arial" w:hAnsi="Arial" w:cs="Arial"/>
        </w:rPr>
        <w:t xml:space="preserve"> en una pared), ya que la inclusión de este principio en un caso como ese no alcanza para compensar la desproporción entre el bien jurídico salvado y el afectado. </w:t>
      </w:r>
    </w:p>
    <w:p w14:paraId="31BD13CD" w14:textId="4F97582D" w:rsidR="00871875" w:rsidRPr="00456AE8" w:rsidRDefault="00871875" w:rsidP="00456AE8">
      <w:pPr>
        <w:jc w:val="both"/>
        <w:rPr>
          <w:rFonts w:ascii="Arial" w:hAnsi="Arial" w:cs="Arial"/>
        </w:rPr>
      </w:pPr>
      <w:r w:rsidRPr="00456AE8">
        <w:rPr>
          <w:rFonts w:ascii="Arial" w:hAnsi="Arial" w:cs="Arial"/>
          <w:b/>
          <w:bCs/>
          <w:u w:val="single"/>
        </w:rPr>
        <w:sym w:font="Symbol" w:char="F0DE"/>
      </w:r>
      <w:r w:rsidRPr="00456AE8">
        <w:rPr>
          <w:rFonts w:ascii="Arial" w:hAnsi="Arial" w:cs="Arial"/>
          <w:b/>
          <w:bCs/>
          <w:u w:val="single"/>
        </w:rPr>
        <w:t xml:space="preserve">Necesidad racional del medio empleado: </w:t>
      </w:r>
      <w:r w:rsidRPr="00456AE8">
        <w:rPr>
          <w:rFonts w:ascii="Arial" w:hAnsi="Arial" w:cs="Arial"/>
        </w:rPr>
        <w:t>El tercer y último principio que regula la legitima defensa estipula que el acto de defenderse, frente a una agresión antijuridica no puede llevarse a cabo de cualquier manera.</w:t>
      </w:r>
    </w:p>
    <w:p w14:paraId="3A9FBDD8" w14:textId="3E39380C" w:rsidR="00871875" w:rsidRPr="00456AE8" w:rsidRDefault="00871875" w:rsidP="00456AE8">
      <w:pPr>
        <w:jc w:val="both"/>
        <w:rPr>
          <w:rFonts w:ascii="Arial" w:hAnsi="Arial" w:cs="Arial"/>
        </w:rPr>
      </w:pPr>
      <w:r w:rsidRPr="00456AE8">
        <w:rPr>
          <w:rFonts w:ascii="Arial" w:hAnsi="Arial" w:cs="Arial"/>
        </w:rPr>
        <w:t xml:space="preserve">Se exige en cambio, que </w:t>
      </w:r>
      <w:r w:rsidR="00C66C46" w:rsidRPr="00456AE8">
        <w:rPr>
          <w:rFonts w:ascii="Arial" w:hAnsi="Arial" w:cs="Arial"/>
        </w:rPr>
        <w:t>el medio empleado para ejercer dicho acto de defensa sea racional, lo cual está expresamente establecido en el artículo 34 inc.6.b del CP, que como vimos, fija como una de las circunstancias que deben concurrir para poder apreciar la legitima defensa, la “necesidad racional del medio empleado para impedirla o repelerla”.</w:t>
      </w:r>
    </w:p>
    <w:p w14:paraId="1CCFF673" w14:textId="6FEF4CCF" w:rsidR="00C66C46" w:rsidRPr="00456AE8" w:rsidRDefault="00C66C46" w:rsidP="00456AE8">
      <w:pPr>
        <w:jc w:val="both"/>
        <w:rPr>
          <w:rFonts w:ascii="Arial" w:hAnsi="Arial" w:cs="Arial"/>
        </w:rPr>
      </w:pPr>
      <w:r w:rsidRPr="00456AE8">
        <w:rPr>
          <w:rFonts w:ascii="Arial" w:hAnsi="Arial" w:cs="Arial"/>
        </w:rPr>
        <w:t xml:space="preserve">De acuerdo con la doctrina y jurisprudencia predominantes, la regla aquí es que, en el momento del hecho, del repertorio de posibles medios disponibles para hacer cesar la agresión -y poner así a salvo el bien jurídico en peligro-, la persona que ejerce la defensa debe optar por el más racional, es decir, por el menos lesivo de todos ellos. </w:t>
      </w:r>
    </w:p>
    <w:p w14:paraId="411F48E6" w14:textId="747D02CE" w:rsidR="00C66C46" w:rsidRPr="00456AE8" w:rsidRDefault="00C66C46" w:rsidP="00456AE8">
      <w:pPr>
        <w:jc w:val="both"/>
        <w:rPr>
          <w:rFonts w:ascii="Arial" w:hAnsi="Arial" w:cs="Arial"/>
        </w:rPr>
      </w:pPr>
      <w:r w:rsidRPr="00456AE8">
        <w:rPr>
          <w:rFonts w:ascii="Arial" w:hAnsi="Arial" w:cs="Arial"/>
        </w:rPr>
        <w:t xml:space="preserve">Por lo tanto, si este, al disipar efectivamente el peligro con un medio determinado (disparar al aire), escoge otro más lesivo (disparar a matar), su actuación no estará justificada, así afirmará el injusto (por el delito de homicidio) en principio bajo la forma, especialmente prevista, del exceso de los límites de la defensa (art.35, C.P), que veremos más adelante. </w:t>
      </w:r>
    </w:p>
    <w:p w14:paraId="37ED5218" w14:textId="542DB874" w:rsidR="00C66C46" w:rsidRPr="00456AE8" w:rsidRDefault="00C66C46" w:rsidP="00456AE8">
      <w:pPr>
        <w:jc w:val="both"/>
        <w:rPr>
          <w:rFonts w:ascii="Arial" w:hAnsi="Arial" w:cs="Arial"/>
        </w:rPr>
      </w:pPr>
      <w:r w:rsidRPr="00456AE8">
        <w:rPr>
          <w:rFonts w:ascii="Arial" w:hAnsi="Arial" w:cs="Arial"/>
        </w:rPr>
        <w:t xml:space="preserve">Por otra parte, como enseña Soler, la exigencia de cierta proporcionalidad, que parte de esta apelación a la racionalidad del medio empleado, no ha de referirse </w:t>
      </w:r>
      <w:r w:rsidRPr="00456AE8">
        <w:rPr>
          <w:rFonts w:ascii="Arial" w:hAnsi="Arial" w:cs="Arial"/>
        </w:rPr>
        <w:lastRenderedPageBreak/>
        <w:t xml:space="preserve">solamente a la gravedad del ataque, sino también a la relevancia de los bienes jurídicos puestos en juego en el conflicto suscitado, con lo cual se resuelve -al menos en una legislación penal como la nuestra – el caso del propietario, impedido de moverse de su casa, que ve como unos adolescentes toman unas manzanas de un árbol que está en el otro extremo de la propiedad… y solo tiene a mano una escopeta: si hiere o mata a los intrusos, su comportamiento no estará justificado en los términos del mencionado </w:t>
      </w:r>
      <w:r w:rsidR="006111EC" w:rsidRPr="00456AE8">
        <w:rPr>
          <w:rFonts w:ascii="Arial" w:hAnsi="Arial" w:cs="Arial"/>
        </w:rPr>
        <w:t>artículo</w:t>
      </w:r>
      <w:r w:rsidRPr="00456AE8">
        <w:rPr>
          <w:rFonts w:ascii="Arial" w:hAnsi="Arial" w:cs="Arial"/>
        </w:rPr>
        <w:t>)</w:t>
      </w:r>
      <w:r w:rsidR="006111EC" w:rsidRPr="00456AE8">
        <w:rPr>
          <w:rFonts w:ascii="Arial" w:hAnsi="Arial" w:cs="Arial"/>
        </w:rPr>
        <w:t>.</w:t>
      </w:r>
    </w:p>
    <w:p w14:paraId="13B00A38" w14:textId="3B6D0E70" w:rsidR="006111EC" w:rsidRPr="00456AE8" w:rsidRDefault="006111EC" w:rsidP="00456AE8">
      <w:pPr>
        <w:jc w:val="both"/>
        <w:rPr>
          <w:rFonts w:ascii="Arial" w:hAnsi="Arial" w:cs="Arial"/>
        </w:rPr>
      </w:pPr>
      <w:r w:rsidRPr="00456AE8">
        <w:rPr>
          <w:rFonts w:ascii="Arial" w:hAnsi="Arial" w:cs="Arial"/>
        </w:rPr>
        <w:t>A su vez, la comparación entre instrumentos empleados por defensor y agresor (por ejemplo, los puños desnudos contra un cuchillo), solo es un aspecto más que confluye para determinar la cuestión decisiva de la cual depende la necesidad racional de la defensa empleada: cuales son los intereses implicados y cual resulta ser el grado de peligro al que estos están expuestos.</w:t>
      </w:r>
    </w:p>
    <w:p w14:paraId="6965959C" w14:textId="00CB9842" w:rsidR="006111EC" w:rsidRPr="00456AE8" w:rsidRDefault="006111EC" w:rsidP="00456AE8">
      <w:pPr>
        <w:jc w:val="both"/>
        <w:rPr>
          <w:rFonts w:ascii="Arial" w:hAnsi="Arial" w:cs="Arial"/>
          <w:b/>
          <w:bCs/>
          <w:u w:val="single"/>
        </w:rPr>
      </w:pPr>
      <w:r w:rsidRPr="00456AE8">
        <w:rPr>
          <w:rFonts w:ascii="Arial" w:hAnsi="Arial" w:cs="Arial"/>
          <w:b/>
          <w:bCs/>
          <w:u w:val="single"/>
        </w:rPr>
        <w:t xml:space="preserve">EXIGENCIAS LEGALES. </w:t>
      </w:r>
    </w:p>
    <w:p w14:paraId="236DAB36" w14:textId="24C6DCFA" w:rsidR="006111EC" w:rsidRPr="00456AE8" w:rsidRDefault="006111EC" w:rsidP="00456AE8">
      <w:pPr>
        <w:jc w:val="both"/>
        <w:rPr>
          <w:rFonts w:ascii="Arial" w:hAnsi="Arial" w:cs="Arial"/>
        </w:rPr>
      </w:pPr>
      <w:r w:rsidRPr="00456AE8">
        <w:rPr>
          <w:rFonts w:ascii="Arial" w:hAnsi="Arial" w:cs="Arial"/>
        </w:rPr>
        <w:t xml:space="preserve">Refiriéndonos a las características legales específicas de la legitima defensa como causa de justificación. </w:t>
      </w:r>
    </w:p>
    <w:p w14:paraId="04367FAC" w14:textId="30617ABD" w:rsidR="004F768E" w:rsidRPr="00456AE8" w:rsidRDefault="004F768E" w:rsidP="00456AE8">
      <w:pPr>
        <w:jc w:val="both"/>
        <w:rPr>
          <w:rFonts w:ascii="Arial" w:hAnsi="Arial" w:cs="Arial"/>
        </w:rPr>
      </w:pPr>
      <w:r w:rsidRPr="00456AE8">
        <w:rPr>
          <w:rFonts w:ascii="Arial" w:hAnsi="Arial" w:cs="Arial"/>
        </w:rPr>
        <w:sym w:font="Symbol" w:char="F0DE"/>
      </w:r>
      <w:r w:rsidRPr="00456AE8">
        <w:rPr>
          <w:rFonts w:ascii="Arial" w:hAnsi="Arial" w:cs="Arial"/>
          <w:b/>
          <w:bCs/>
        </w:rPr>
        <w:t>Agresión</w:t>
      </w:r>
      <w:r w:rsidRPr="00456AE8">
        <w:rPr>
          <w:rFonts w:ascii="Arial" w:hAnsi="Arial" w:cs="Arial"/>
        </w:rPr>
        <w:t>: La misma debe consistir en un ataque, un acometimiento de una persona física, que pone bajo seria amenaza, bienes jurídicos individuales de otra (de tipo doloso). Destacando esto último, quien agrede, dirige la causalidad, con conocimiento y voluntad, a poner en peligro o dañar algún bien jurídico individual de la víctima.</w:t>
      </w:r>
    </w:p>
    <w:p w14:paraId="48F02D50" w14:textId="52E8F91A" w:rsidR="004F768E" w:rsidRPr="00456AE8" w:rsidRDefault="004F768E" w:rsidP="00456AE8">
      <w:pPr>
        <w:jc w:val="both"/>
        <w:rPr>
          <w:rFonts w:ascii="Arial" w:hAnsi="Arial" w:cs="Arial"/>
        </w:rPr>
      </w:pPr>
      <w:r w:rsidRPr="00456AE8">
        <w:rPr>
          <w:rFonts w:ascii="Arial" w:hAnsi="Arial" w:cs="Arial"/>
        </w:rPr>
        <w:t>En cambio, quien obrare en forma imprudente no está aceptando ni queriendo acometer contra la víctima, sino que ello se produce debido a una actuación descuidada, incluso temeraria del autor, con violación al deber de cuidado.</w:t>
      </w:r>
    </w:p>
    <w:p w14:paraId="4E139180" w14:textId="4DC38933" w:rsidR="004F768E" w:rsidRPr="00456AE8" w:rsidRDefault="004F768E" w:rsidP="00456AE8">
      <w:pPr>
        <w:jc w:val="both"/>
        <w:rPr>
          <w:rFonts w:ascii="Arial" w:hAnsi="Arial" w:cs="Arial"/>
        </w:rPr>
      </w:pPr>
      <w:r w:rsidRPr="00456AE8">
        <w:rPr>
          <w:rFonts w:ascii="Arial" w:hAnsi="Arial" w:cs="Arial"/>
        </w:rPr>
        <w:t xml:space="preserve">El acto de defensa puede activarse no solo a partir de una acción (la típica situación seria la de un intento de asalto), sino también, ante una comisión por omisión, es decir, un no hacer estando obligado a actuar, por parte de un sujeto en posición de garante, que puede constituir también una agresión, si el </w:t>
      </w:r>
      <w:proofErr w:type="spellStart"/>
      <w:r w:rsidRPr="00456AE8">
        <w:rPr>
          <w:rFonts w:ascii="Arial" w:hAnsi="Arial" w:cs="Arial"/>
        </w:rPr>
        <w:t>omitente</w:t>
      </w:r>
      <w:proofErr w:type="spellEnd"/>
      <w:r w:rsidRPr="00456AE8">
        <w:rPr>
          <w:rFonts w:ascii="Arial" w:hAnsi="Arial" w:cs="Arial"/>
        </w:rPr>
        <w:t xml:space="preserve"> está obligado a intervenir en el curso causal, y dolosamente, no lo hace. Ej. Persona que da orden a su perro feroz de atacar a la víctima, y el dueño consciente de ello y deliberadamente, se abstenga del llamado.</w:t>
      </w:r>
    </w:p>
    <w:p w14:paraId="339BB0E7" w14:textId="47B96F8D" w:rsidR="004F768E" w:rsidRPr="00456AE8" w:rsidRDefault="004F768E" w:rsidP="00456AE8">
      <w:pPr>
        <w:jc w:val="both"/>
        <w:rPr>
          <w:rFonts w:ascii="Arial" w:hAnsi="Arial" w:cs="Arial"/>
        </w:rPr>
      </w:pPr>
      <w:r w:rsidRPr="00456AE8">
        <w:rPr>
          <w:rFonts w:ascii="Arial" w:hAnsi="Arial" w:cs="Arial"/>
        </w:rPr>
        <w:sym w:font="Symbol" w:char="F0DE"/>
      </w:r>
      <w:r w:rsidRPr="00456AE8">
        <w:rPr>
          <w:rFonts w:ascii="Arial" w:hAnsi="Arial" w:cs="Arial"/>
          <w:b/>
          <w:bCs/>
        </w:rPr>
        <w:t>Ilegitima</w:t>
      </w:r>
      <w:r w:rsidRPr="00456AE8">
        <w:rPr>
          <w:rFonts w:ascii="Arial" w:hAnsi="Arial" w:cs="Arial"/>
        </w:rPr>
        <w:t>: La referencia legal a que la agresión sea ilegitima, conforme a la doctrina y jurisprudencia dominante, debe interpretarse como sinónimo de antijuridica, es decir, que el acontecimiento que ha de sufrir quien ejerce la defensa debe tratarse objetivamente de un injusto penal</w:t>
      </w:r>
      <w:r w:rsidR="00DB1959" w:rsidRPr="00456AE8">
        <w:rPr>
          <w:rFonts w:ascii="Arial" w:hAnsi="Arial" w:cs="Arial"/>
        </w:rPr>
        <w:t xml:space="preserve">. </w:t>
      </w:r>
    </w:p>
    <w:p w14:paraId="40F9577A" w14:textId="2D504AD8" w:rsidR="003C1077" w:rsidRPr="00456AE8" w:rsidRDefault="003C1077" w:rsidP="00456AE8">
      <w:pPr>
        <w:jc w:val="both"/>
        <w:rPr>
          <w:rFonts w:ascii="Arial" w:hAnsi="Arial" w:cs="Arial"/>
        </w:rPr>
      </w:pPr>
      <w:r w:rsidRPr="00456AE8">
        <w:rPr>
          <w:rFonts w:ascii="Arial" w:hAnsi="Arial" w:cs="Arial"/>
        </w:rPr>
        <w:t xml:space="preserve">El lapso en el cual comienza el espacio para ejercer legitima defensa debido al desencadenamiento de una agresión ilegitima, se da con el inicio de la etapa de la </w:t>
      </w:r>
      <w:r w:rsidRPr="00456AE8">
        <w:rPr>
          <w:rFonts w:ascii="Arial" w:hAnsi="Arial" w:cs="Arial"/>
        </w:rPr>
        <w:lastRenderedPageBreak/>
        <w:t>ejecución del delito (tentativa) e incluso, de acuerdo con la mayor parte de la doctrina, puede abarcar un breve espacio temporal inmediatamente previo, si los indicios resultan indudables e inequívocos, pero no puede retrotraerse más allá.</w:t>
      </w:r>
    </w:p>
    <w:p w14:paraId="7A63868D" w14:textId="2E348803" w:rsidR="003C1077" w:rsidRPr="00456AE8" w:rsidRDefault="003C1077" w:rsidP="00456AE8">
      <w:pPr>
        <w:jc w:val="both"/>
        <w:rPr>
          <w:rFonts w:ascii="Arial" w:hAnsi="Arial" w:cs="Arial"/>
        </w:rPr>
      </w:pPr>
      <w:r w:rsidRPr="00456AE8">
        <w:rPr>
          <w:rFonts w:ascii="Arial" w:hAnsi="Arial" w:cs="Arial"/>
        </w:rPr>
        <w:t>Ello tiene respaldo legal en nuestro país, pues el articulo 34, inc. 6, no solo habla de repeler la agresión, sino también de impedirla, y esta última modalidad solo puede darse, si esta aun no comenzó.</w:t>
      </w:r>
    </w:p>
    <w:p w14:paraId="34E9A655" w14:textId="095F7FC7" w:rsidR="003C1077" w:rsidRPr="00456AE8" w:rsidRDefault="003C1077" w:rsidP="00456AE8">
      <w:pPr>
        <w:jc w:val="both"/>
        <w:rPr>
          <w:rFonts w:ascii="Arial" w:hAnsi="Arial" w:cs="Arial"/>
        </w:rPr>
      </w:pPr>
      <w:r w:rsidRPr="00456AE8">
        <w:rPr>
          <w:rFonts w:ascii="Arial" w:hAnsi="Arial" w:cs="Arial"/>
        </w:rPr>
        <w:t>Asimismo, el marco temporal, en el cual es posible desplegar actos en contexto de legitima defensa, finaliza con la consumación material del delito, situación que, como veremos más adelante, difiere según que delito y que bien jurídico este en juego: así, en los delitos de desapoderamiento, en tanto el autor no haya logrado retirar el bien sustraído de la esfera de custodia de su poseedor y haya dispuesto libremente de este , el delito no se habrá consumado y, por lo tanto, la agresión antijuridica seguirá siendo actual mientras se mantenga en el tiempo ese estado (por ejemplo, en el marco de una persecución.</w:t>
      </w:r>
    </w:p>
    <w:p w14:paraId="659FD02E" w14:textId="55455423" w:rsidR="003C1077" w:rsidRPr="00456AE8" w:rsidRDefault="003C1077" w:rsidP="00456AE8">
      <w:pPr>
        <w:jc w:val="both"/>
        <w:rPr>
          <w:rFonts w:ascii="Arial" w:hAnsi="Arial" w:cs="Arial"/>
        </w:rPr>
      </w:pPr>
      <w:r w:rsidRPr="00456AE8">
        <w:rPr>
          <w:rFonts w:ascii="Arial" w:hAnsi="Arial" w:cs="Arial"/>
        </w:rPr>
        <w:t>Recordemos que el delito de robo (art.164 CP), según la propia letra del tipo penal, se mantiene en plena ejecución no solo cuando se ejerce violencia en las personas “antes del robo para facilitarlo” o “en el acto de cometerlo”, sino también “después de cometido para procurar su impunidad”, lo que vendría a ser un acto reflejo de las posibilidades de ejercer legitima defensa en esas mismas circunstancia</w:t>
      </w:r>
      <w:r w:rsidR="005B2B3C" w:rsidRPr="00456AE8">
        <w:rPr>
          <w:rFonts w:ascii="Arial" w:hAnsi="Arial" w:cs="Arial"/>
        </w:rPr>
        <w:t>s</w:t>
      </w:r>
      <w:r w:rsidRPr="00456AE8">
        <w:rPr>
          <w:rFonts w:ascii="Arial" w:hAnsi="Arial" w:cs="Arial"/>
        </w:rPr>
        <w:t>.</w:t>
      </w:r>
    </w:p>
    <w:p w14:paraId="796D0BCA" w14:textId="319B8CC1" w:rsidR="003C1077" w:rsidRPr="00456AE8" w:rsidRDefault="003C1077" w:rsidP="00456AE8">
      <w:pPr>
        <w:jc w:val="both"/>
        <w:rPr>
          <w:rFonts w:ascii="Arial" w:hAnsi="Arial" w:cs="Arial"/>
        </w:rPr>
      </w:pPr>
      <w:r w:rsidRPr="00456AE8">
        <w:rPr>
          <w:rFonts w:ascii="Arial" w:hAnsi="Arial" w:cs="Arial"/>
        </w:rPr>
        <w:t>Si se tratare de delitos permanentes, la posibilidad de ejercer legitima defensa, no termina con la consumación formal del delito, sino recién con su agotamiento, por lo que se mantiene durante toda la etapa consumativa del delito (por ejemplo, mientras dure la violación, la privación ilegal de la libertad, secuestro extorsivo</w:t>
      </w:r>
      <w:r w:rsidR="00070412" w:rsidRPr="00456AE8">
        <w:rPr>
          <w:rFonts w:ascii="Arial" w:hAnsi="Arial" w:cs="Arial"/>
        </w:rPr>
        <w:t>, etc. Aunque también hay que recordar que la legitima defensa será válida ante la ausencia de la autoridad, de modo que esta última, siempre tiene preferencia de actuación, frente al ejercicio de una defensa privada).</w:t>
      </w:r>
    </w:p>
    <w:p w14:paraId="5214F0C6" w14:textId="0865B21A" w:rsidR="00070412" w:rsidRPr="00456AE8" w:rsidRDefault="00070412" w:rsidP="00456AE8">
      <w:pPr>
        <w:jc w:val="both"/>
        <w:rPr>
          <w:rFonts w:ascii="Arial" w:hAnsi="Arial" w:cs="Arial"/>
        </w:rPr>
      </w:pPr>
      <w:r w:rsidRPr="00456AE8">
        <w:rPr>
          <w:rFonts w:ascii="Arial" w:hAnsi="Arial" w:cs="Arial"/>
        </w:rPr>
        <w:t>Lo cierto es que, una vez consumado el delito (o agotado, según el caso), ya no hay posibilidad de ejercer legitima defensa.</w:t>
      </w:r>
    </w:p>
    <w:p w14:paraId="492CD78E" w14:textId="1A0E0976" w:rsidR="00070412" w:rsidRPr="00456AE8" w:rsidRDefault="00070412" w:rsidP="00456AE8">
      <w:pPr>
        <w:jc w:val="both"/>
        <w:rPr>
          <w:rFonts w:ascii="Arial" w:hAnsi="Arial" w:cs="Arial"/>
        </w:rPr>
      </w:pPr>
      <w:r w:rsidRPr="00456AE8">
        <w:rPr>
          <w:rFonts w:ascii="Arial" w:hAnsi="Arial" w:cs="Arial"/>
        </w:rPr>
        <w:sym w:font="Symbol" w:char="F0DE"/>
      </w:r>
      <w:r w:rsidRPr="00456AE8">
        <w:rPr>
          <w:rFonts w:ascii="Arial" w:hAnsi="Arial" w:cs="Arial"/>
          <w:b/>
          <w:bCs/>
          <w:u w:val="single"/>
        </w:rPr>
        <w:t>Necesidad racional del medio empleado</w:t>
      </w:r>
      <w:r w:rsidRPr="00456AE8">
        <w:rPr>
          <w:rFonts w:ascii="Arial" w:hAnsi="Arial" w:cs="Arial"/>
        </w:rPr>
        <w:t>:</w:t>
      </w:r>
      <w:r w:rsidR="001A5E2D">
        <w:rPr>
          <w:rFonts w:ascii="Arial" w:hAnsi="Arial" w:cs="Arial"/>
        </w:rPr>
        <w:t xml:space="preserve"> (ya desarrollado en la sección de principios). Pero mencionamos </w:t>
      </w:r>
      <w:proofErr w:type="gramStart"/>
      <w:r w:rsidR="001A5E2D">
        <w:rPr>
          <w:rFonts w:ascii="Arial" w:hAnsi="Arial" w:cs="Arial"/>
        </w:rPr>
        <w:t>que</w:t>
      </w:r>
      <w:proofErr w:type="gramEnd"/>
      <w:r w:rsidR="001A5E2D">
        <w:rPr>
          <w:rFonts w:ascii="Arial" w:hAnsi="Arial" w:cs="Arial"/>
        </w:rPr>
        <w:t xml:space="preserve"> en este supuesto, se exige que, de los medios disponibles en el momento para repeler el ataque, se opte por el menos lesivo para neutralizar el peligro de manera idónea.</w:t>
      </w:r>
    </w:p>
    <w:p w14:paraId="606370E8" w14:textId="2090466A" w:rsidR="00070412" w:rsidRPr="00456AE8" w:rsidRDefault="00070412" w:rsidP="00456AE8">
      <w:pPr>
        <w:jc w:val="both"/>
        <w:rPr>
          <w:rFonts w:ascii="Arial" w:hAnsi="Arial" w:cs="Arial"/>
        </w:rPr>
      </w:pPr>
      <w:r w:rsidRPr="00456AE8">
        <w:rPr>
          <w:rFonts w:ascii="Arial" w:hAnsi="Arial" w:cs="Arial"/>
        </w:rPr>
        <w:sym w:font="Symbol" w:char="F0DE"/>
      </w:r>
      <w:r w:rsidRPr="00456AE8">
        <w:rPr>
          <w:rFonts w:ascii="Arial" w:hAnsi="Arial" w:cs="Arial"/>
        </w:rPr>
        <w:t xml:space="preserve"> Falta de provocación suficiente. Mediante este otro principio, quien pretende colocarse en situación de legitima defensa no debe hacer sido, a su vez, quien llevo al otro a generar una situación de agresión.</w:t>
      </w:r>
    </w:p>
    <w:p w14:paraId="04D247C1" w14:textId="1A0E1408" w:rsidR="00070412" w:rsidRPr="00456AE8" w:rsidRDefault="00070412" w:rsidP="00456AE8">
      <w:pPr>
        <w:jc w:val="both"/>
        <w:rPr>
          <w:rFonts w:ascii="Arial" w:hAnsi="Arial" w:cs="Arial"/>
        </w:rPr>
      </w:pPr>
      <w:r w:rsidRPr="00456AE8">
        <w:rPr>
          <w:rFonts w:ascii="Arial" w:hAnsi="Arial" w:cs="Arial"/>
        </w:rPr>
        <w:lastRenderedPageBreak/>
        <w:t xml:space="preserve">Dicho de otro modo, no es posible enmarcar en este contexto justificante, si el otro esta obrando, a su vez, en legitima defensa, debido a una agresión ilegitima previa. </w:t>
      </w:r>
    </w:p>
    <w:p w14:paraId="683829BE" w14:textId="10FA4121" w:rsidR="0052083C" w:rsidRPr="00456AE8" w:rsidRDefault="0052083C" w:rsidP="00456AE8">
      <w:pPr>
        <w:jc w:val="both"/>
        <w:rPr>
          <w:rFonts w:ascii="Arial" w:hAnsi="Arial" w:cs="Arial"/>
        </w:rPr>
      </w:pPr>
      <w:r w:rsidRPr="00456AE8">
        <w:rPr>
          <w:rFonts w:ascii="Arial" w:hAnsi="Arial" w:cs="Arial"/>
        </w:rPr>
        <w:t>Cuando el legislador se refiere a que la provocación sea suficiente, se matiza el alcance de esta exigencia: que no haya existido provocación no quiere decir, necesariamente, que no se pueda, luego, ejercer igualmente legitima defensa, allí cuando alguien ciertamente haya provocado la agresión (por ejemplo, de palabra), pero dicha provocación de ninguna manera puede explicar la reacción -o agresión- desproporcionada del otro (que ante ello, por ejemplo, extrae un revolver y le apunta a quien lo insultó</w:t>
      </w:r>
      <w:r w:rsidR="009C6A74" w:rsidRPr="00456AE8">
        <w:rPr>
          <w:rFonts w:ascii="Arial" w:hAnsi="Arial" w:cs="Arial"/>
        </w:rPr>
        <w:t xml:space="preserve">). </w:t>
      </w:r>
    </w:p>
    <w:p w14:paraId="2676AA46" w14:textId="77777777" w:rsidR="009C6A74" w:rsidRPr="00456AE8" w:rsidRDefault="009C6A74" w:rsidP="00456AE8">
      <w:pPr>
        <w:jc w:val="both"/>
        <w:rPr>
          <w:rFonts w:ascii="Arial" w:hAnsi="Arial" w:cs="Arial"/>
        </w:rPr>
      </w:pPr>
    </w:p>
    <w:p w14:paraId="63770391" w14:textId="2C14CCCC" w:rsidR="009C6A74" w:rsidRPr="00456AE8" w:rsidRDefault="009C6A74" w:rsidP="00456AE8">
      <w:pPr>
        <w:jc w:val="both"/>
        <w:rPr>
          <w:rFonts w:ascii="Arial" w:hAnsi="Arial" w:cs="Arial"/>
          <w:b/>
          <w:bCs/>
          <w:u w:val="single"/>
        </w:rPr>
      </w:pPr>
      <w:r w:rsidRPr="00456AE8">
        <w:rPr>
          <w:rFonts w:ascii="Arial" w:hAnsi="Arial" w:cs="Arial"/>
          <w:b/>
          <w:bCs/>
          <w:u w:val="single"/>
        </w:rPr>
        <w:t>Legitima defensa de terceros:</w:t>
      </w:r>
    </w:p>
    <w:p w14:paraId="1578F615" w14:textId="133A929C" w:rsidR="009C6A74" w:rsidRPr="00456AE8" w:rsidRDefault="009C6A74" w:rsidP="00456AE8">
      <w:pPr>
        <w:jc w:val="both"/>
        <w:rPr>
          <w:rFonts w:ascii="Arial" w:hAnsi="Arial" w:cs="Arial"/>
        </w:rPr>
      </w:pPr>
      <w:r w:rsidRPr="00456AE8">
        <w:rPr>
          <w:rFonts w:ascii="Arial" w:hAnsi="Arial" w:cs="Arial"/>
        </w:rPr>
        <w:t xml:space="preserve">Por último, en el artículo 34, inc.7 del C.P, consagra la llamada legitima defensa de terceros, por la cual se extiende el alcance de esta causa de justificación a todos aquellos casos en donde una o más personas intervienen en defensa de otro u otros, que están siendo objeto de una agresión antijuridica. </w:t>
      </w:r>
    </w:p>
    <w:sectPr w:rsidR="009C6A74" w:rsidRPr="00456AE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5D1970"/>
    <w:multiLevelType w:val="hybridMultilevel"/>
    <w:tmpl w:val="23F2619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0315471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21A"/>
    <w:rsid w:val="00070412"/>
    <w:rsid w:val="001A5E2D"/>
    <w:rsid w:val="001F5B0C"/>
    <w:rsid w:val="00320A11"/>
    <w:rsid w:val="00347C91"/>
    <w:rsid w:val="0037621A"/>
    <w:rsid w:val="003C1077"/>
    <w:rsid w:val="00415B88"/>
    <w:rsid w:val="00456AE8"/>
    <w:rsid w:val="004F768E"/>
    <w:rsid w:val="00510758"/>
    <w:rsid w:val="0052083C"/>
    <w:rsid w:val="005377E0"/>
    <w:rsid w:val="005B2B3C"/>
    <w:rsid w:val="006111EC"/>
    <w:rsid w:val="00871875"/>
    <w:rsid w:val="008D5C20"/>
    <w:rsid w:val="009C6A74"/>
    <w:rsid w:val="009F658A"/>
    <w:rsid w:val="00A97E57"/>
    <w:rsid w:val="00C66C46"/>
    <w:rsid w:val="00C83A7A"/>
    <w:rsid w:val="00D13F1C"/>
    <w:rsid w:val="00DB1959"/>
    <w:rsid w:val="00F9622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CA2F3"/>
  <w15:chartTrackingRefBased/>
  <w15:docId w15:val="{294B542F-BC38-3D4D-B0FB-25041AA52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uiPriority w:val="9"/>
    <w:qFormat/>
    <w:rsid w:val="003762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762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7621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7621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7621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7621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7621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7621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7621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7621A"/>
    <w:rPr>
      <w:rFonts w:asciiTheme="majorHAnsi" w:eastAsiaTheme="majorEastAsia" w:hAnsiTheme="majorHAnsi" w:cstheme="majorBidi"/>
      <w:color w:val="0F4761" w:themeColor="accent1" w:themeShade="BF"/>
      <w:sz w:val="40"/>
      <w:szCs w:val="40"/>
      <w:lang w:val="es-ES"/>
    </w:rPr>
  </w:style>
  <w:style w:type="character" w:customStyle="1" w:styleId="Ttulo2Car">
    <w:name w:val="Título 2 Car"/>
    <w:basedOn w:val="Fuentedeprrafopredeter"/>
    <w:link w:val="Ttulo2"/>
    <w:uiPriority w:val="9"/>
    <w:semiHidden/>
    <w:rsid w:val="0037621A"/>
    <w:rPr>
      <w:rFonts w:asciiTheme="majorHAnsi" w:eastAsiaTheme="majorEastAsia" w:hAnsiTheme="majorHAnsi" w:cstheme="majorBidi"/>
      <w:color w:val="0F4761" w:themeColor="accent1" w:themeShade="BF"/>
      <w:sz w:val="32"/>
      <w:szCs w:val="32"/>
      <w:lang w:val="es-ES"/>
    </w:rPr>
  </w:style>
  <w:style w:type="character" w:customStyle="1" w:styleId="Ttulo3Car">
    <w:name w:val="Título 3 Car"/>
    <w:basedOn w:val="Fuentedeprrafopredeter"/>
    <w:link w:val="Ttulo3"/>
    <w:uiPriority w:val="9"/>
    <w:semiHidden/>
    <w:rsid w:val="0037621A"/>
    <w:rPr>
      <w:rFonts w:eastAsiaTheme="majorEastAsia" w:cstheme="majorBidi"/>
      <w:color w:val="0F4761" w:themeColor="accent1" w:themeShade="BF"/>
      <w:sz w:val="28"/>
      <w:szCs w:val="28"/>
      <w:lang w:val="es-ES"/>
    </w:rPr>
  </w:style>
  <w:style w:type="character" w:customStyle="1" w:styleId="Ttulo4Car">
    <w:name w:val="Título 4 Car"/>
    <w:basedOn w:val="Fuentedeprrafopredeter"/>
    <w:link w:val="Ttulo4"/>
    <w:uiPriority w:val="9"/>
    <w:semiHidden/>
    <w:rsid w:val="0037621A"/>
    <w:rPr>
      <w:rFonts w:eastAsiaTheme="majorEastAsia" w:cstheme="majorBidi"/>
      <w:i/>
      <w:iCs/>
      <w:color w:val="0F4761" w:themeColor="accent1" w:themeShade="BF"/>
      <w:lang w:val="es-ES"/>
    </w:rPr>
  </w:style>
  <w:style w:type="character" w:customStyle="1" w:styleId="Ttulo5Car">
    <w:name w:val="Título 5 Car"/>
    <w:basedOn w:val="Fuentedeprrafopredeter"/>
    <w:link w:val="Ttulo5"/>
    <w:uiPriority w:val="9"/>
    <w:semiHidden/>
    <w:rsid w:val="0037621A"/>
    <w:rPr>
      <w:rFonts w:eastAsiaTheme="majorEastAsia" w:cstheme="majorBidi"/>
      <w:color w:val="0F4761" w:themeColor="accent1" w:themeShade="BF"/>
      <w:lang w:val="es-ES"/>
    </w:rPr>
  </w:style>
  <w:style w:type="character" w:customStyle="1" w:styleId="Ttulo6Car">
    <w:name w:val="Título 6 Car"/>
    <w:basedOn w:val="Fuentedeprrafopredeter"/>
    <w:link w:val="Ttulo6"/>
    <w:uiPriority w:val="9"/>
    <w:semiHidden/>
    <w:rsid w:val="0037621A"/>
    <w:rPr>
      <w:rFonts w:eastAsiaTheme="majorEastAsia" w:cstheme="majorBidi"/>
      <w:i/>
      <w:iCs/>
      <w:color w:val="595959" w:themeColor="text1" w:themeTint="A6"/>
      <w:lang w:val="es-ES"/>
    </w:rPr>
  </w:style>
  <w:style w:type="character" w:customStyle="1" w:styleId="Ttulo7Car">
    <w:name w:val="Título 7 Car"/>
    <w:basedOn w:val="Fuentedeprrafopredeter"/>
    <w:link w:val="Ttulo7"/>
    <w:uiPriority w:val="9"/>
    <w:semiHidden/>
    <w:rsid w:val="0037621A"/>
    <w:rPr>
      <w:rFonts w:eastAsiaTheme="majorEastAsia" w:cstheme="majorBidi"/>
      <w:color w:val="595959" w:themeColor="text1" w:themeTint="A6"/>
      <w:lang w:val="es-ES"/>
    </w:rPr>
  </w:style>
  <w:style w:type="character" w:customStyle="1" w:styleId="Ttulo8Car">
    <w:name w:val="Título 8 Car"/>
    <w:basedOn w:val="Fuentedeprrafopredeter"/>
    <w:link w:val="Ttulo8"/>
    <w:uiPriority w:val="9"/>
    <w:semiHidden/>
    <w:rsid w:val="0037621A"/>
    <w:rPr>
      <w:rFonts w:eastAsiaTheme="majorEastAsia" w:cstheme="majorBidi"/>
      <w:i/>
      <w:iCs/>
      <w:color w:val="272727" w:themeColor="text1" w:themeTint="D8"/>
      <w:lang w:val="es-ES"/>
    </w:rPr>
  </w:style>
  <w:style w:type="character" w:customStyle="1" w:styleId="Ttulo9Car">
    <w:name w:val="Título 9 Car"/>
    <w:basedOn w:val="Fuentedeprrafopredeter"/>
    <w:link w:val="Ttulo9"/>
    <w:uiPriority w:val="9"/>
    <w:semiHidden/>
    <w:rsid w:val="0037621A"/>
    <w:rPr>
      <w:rFonts w:eastAsiaTheme="majorEastAsia" w:cstheme="majorBidi"/>
      <w:color w:val="272727" w:themeColor="text1" w:themeTint="D8"/>
      <w:lang w:val="es-ES"/>
    </w:rPr>
  </w:style>
  <w:style w:type="paragraph" w:styleId="Ttulo">
    <w:name w:val="Title"/>
    <w:basedOn w:val="Normal"/>
    <w:next w:val="Normal"/>
    <w:link w:val="TtuloCar"/>
    <w:uiPriority w:val="10"/>
    <w:qFormat/>
    <w:rsid w:val="003762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7621A"/>
    <w:rPr>
      <w:rFonts w:asciiTheme="majorHAnsi" w:eastAsiaTheme="majorEastAsia" w:hAnsiTheme="majorHAnsi" w:cstheme="majorBidi"/>
      <w:spacing w:val="-10"/>
      <w:kern w:val="28"/>
      <w:sz w:val="56"/>
      <w:szCs w:val="56"/>
      <w:lang w:val="es-ES"/>
    </w:rPr>
  </w:style>
  <w:style w:type="paragraph" w:styleId="Subttulo">
    <w:name w:val="Subtitle"/>
    <w:basedOn w:val="Normal"/>
    <w:next w:val="Normal"/>
    <w:link w:val="SubttuloCar"/>
    <w:uiPriority w:val="11"/>
    <w:qFormat/>
    <w:rsid w:val="0037621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7621A"/>
    <w:rPr>
      <w:rFonts w:eastAsiaTheme="majorEastAsi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37621A"/>
    <w:pPr>
      <w:spacing w:before="160"/>
      <w:jc w:val="center"/>
    </w:pPr>
    <w:rPr>
      <w:i/>
      <w:iCs/>
      <w:color w:val="404040" w:themeColor="text1" w:themeTint="BF"/>
    </w:rPr>
  </w:style>
  <w:style w:type="character" w:customStyle="1" w:styleId="CitaCar">
    <w:name w:val="Cita Car"/>
    <w:basedOn w:val="Fuentedeprrafopredeter"/>
    <w:link w:val="Cita"/>
    <w:uiPriority w:val="29"/>
    <w:rsid w:val="0037621A"/>
    <w:rPr>
      <w:i/>
      <w:iCs/>
      <w:color w:val="404040" w:themeColor="text1" w:themeTint="BF"/>
      <w:lang w:val="es-ES"/>
    </w:rPr>
  </w:style>
  <w:style w:type="paragraph" w:styleId="Prrafodelista">
    <w:name w:val="List Paragraph"/>
    <w:basedOn w:val="Normal"/>
    <w:uiPriority w:val="34"/>
    <w:qFormat/>
    <w:rsid w:val="0037621A"/>
    <w:pPr>
      <w:ind w:left="720"/>
      <w:contextualSpacing/>
    </w:pPr>
  </w:style>
  <w:style w:type="character" w:styleId="nfasisintenso">
    <w:name w:val="Intense Emphasis"/>
    <w:basedOn w:val="Fuentedeprrafopredeter"/>
    <w:uiPriority w:val="21"/>
    <w:qFormat/>
    <w:rsid w:val="0037621A"/>
    <w:rPr>
      <w:i/>
      <w:iCs/>
      <w:color w:val="0F4761" w:themeColor="accent1" w:themeShade="BF"/>
    </w:rPr>
  </w:style>
  <w:style w:type="paragraph" w:styleId="Citadestacada">
    <w:name w:val="Intense Quote"/>
    <w:basedOn w:val="Normal"/>
    <w:next w:val="Normal"/>
    <w:link w:val="CitadestacadaCar"/>
    <w:uiPriority w:val="30"/>
    <w:qFormat/>
    <w:rsid w:val="003762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7621A"/>
    <w:rPr>
      <w:i/>
      <w:iCs/>
      <w:color w:val="0F4761" w:themeColor="accent1" w:themeShade="BF"/>
      <w:lang w:val="es-ES"/>
    </w:rPr>
  </w:style>
  <w:style w:type="character" w:styleId="Referenciaintensa">
    <w:name w:val="Intense Reference"/>
    <w:basedOn w:val="Fuentedeprrafopredeter"/>
    <w:uiPriority w:val="32"/>
    <w:qFormat/>
    <w:rsid w:val="003762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7</Pages>
  <Words>2506</Words>
  <Characters>13788</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2026-08-08T16:06:00Z</dcterms:created>
  <dcterms:modified xsi:type="dcterms:W3CDTF">2026-08-10T15:45:00Z</dcterms:modified>
</cp:coreProperties>
</file>