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32C58AD" w14:textId="0DE57B2C" w:rsidR="00734001" w:rsidRPr="00A30D43" w:rsidRDefault="00734001" w:rsidP="00E366B5">
      <w:pPr>
        <w:jc w:val="both"/>
        <w:rPr>
          <w:b/>
          <w:bCs/>
          <w:sz w:val="28"/>
          <w:szCs w:val="28"/>
          <w:u w:val="single"/>
        </w:rPr>
      </w:pPr>
      <w:r w:rsidRPr="00A30D43">
        <w:rPr>
          <w:b/>
          <w:bCs/>
          <w:sz w:val="28"/>
          <w:szCs w:val="28"/>
          <w:u w:val="single"/>
        </w:rPr>
        <w:t>Derechos personales:</w:t>
      </w:r>
    </w:p>
    <w:p w14:paraId="66FD6105" w14:textId="3AC2ABF7" w:rsidR="00734001" w:rsidRPr="00A30D43" w:rsidRDefault="00734001" w:rsidP="00E366B5">
      <w:pPr>
        <w:jc w:val="both"/>
      </w:pPr>
      <w:r w:rsidRPr="00A30D43">
        <w:rPr>
          <w:b/>
          <w:bCs/>
          <w:u w:val="single"/>
        </w:rPr>
        <w:t xml:space="preserve">Derecho a la intimidad: </w:t>
      </w:r>
      <w:r w:rsidRPr="00A30D43">
        <w:t>La intimidad constituye uno de los atributos de la personalidad de más alto rango. Ella es esencial para la persona, e inseparable de su condición humana. Su desconocimiento implica aniquilar la existencia física y moral de aquella como individuo y como ser social.</w:t>
      </w:r>
    </w:p>
    <w:p w14:paraId="50455FD1" w14:textId="13636FA0" w:rsidR="00734001" w:rsidRPr="00A30D43" w:rsidRDefault="00734001" w:rsidP="00E366B5">
      <w:pPr>
        <w:jc w:val="both"/>
      </w:pPr>
      <w:r w:rsidRPr="00A30D43">
        <w:t>El derecho a la intimidad, como tal, no se ha</w:t>
      </w:r>
      <w:r w:rsidR="009A31F9" w:rsidRPr="00A30D43">
        <w:t>ll</w:t>
      </w:r>
      <w:r w:rsidRPr="00A30D43">
        <w:t xml:space="preserve">a incluido entre los derechos enumerados en la Constitución Nacional. Empero, su existencia implícita está fuera de toda duda, si nos atenemos a lo estatuido en los artículos 19 </w:t>
      </w:r>
      <w:r w:rsidR="009A31F9" w:rsidRPr="00A30D43">
        <w:t xml:space="preserve">(principio de reserva) </w:t>
      </w:r>
      <w:r w:rsidRPr="00A30D43">
        <w:t xml:space="preserve">y 33 </w:t>
      </w:r>
      <w:r w:rsidR="009A31F9" w:rsidRPr="00A30D43">
        <w:t xml:space="preserve">(derechos implícitos) </w:t>
      </w:r>
      <w:r w:rsidRPr="00A30D43">
        <w:t>de la Constitución</w:t>
      </w:r>
      <w:r w:rsidR="009A31F9" w:rsidRPr="00A30D43">
        <w:t xml:space="preserve"> Nacional.</w:t>
      </w:r>
    </w:p>
    <w:p w14:paraId="1AAB2629" w14:textId="0C063461" w:rsidR="00734001" w:rsidRPr="00A30D43" w:rsidRDefault="00734001" w:rsidP="00E366B5">
      <w:pPr>
        <w:jc w:val="both"/>
      </w:pPr>
      <w:r w:rsidRPr="00A30D43">
        <w:t xml:space="preserve">Es el derecho personalísimo, por tanto, que permite sustraer a la persona de la arbitraria difusión de los hechos de su vida privada. </w:t>
      </w:r>
    </w:p>
    <w:p w14:paraId="51CA4C0C" w14:textId="6F3506FB" w:rsidR="00734001" w:rsidRPr="00A30D43" w:rsidRDefault="00734001" w:rsidP="00E366B5">
      <w:pPr>
        <w:jc w:val="both"/>
      </w:pPr>
      <w:r w:rsidRPr="00A30D43">
        <w:t xml:space="preserve">Las personas publicas tienen también derecho a gozar de su intimidad. Sin embargo, este derecho presenta la particularidad de que su ámbito de protección es variable y queda determinado, en definitiva, por la conducta de cada persona. Si ésta ha facilitado la intromisión en su intimidad, la tutela se debilita y puede llegar a desaparecer. Es decir que, no todas las personas gozan del mismo ámbito de protección. </w:t>
      </w:r>
    </w:p>
    <w:p w14:paraId="3646DB11" w14:textId="5C47105E" w:rsidR="00C41140" w:rsidRPr="00A30D43" w:rsidRDefault="00C41140" w:rsidP="00E366B5">
      <w:pPr>
        <w:jc w:val="both"/>
      </w:pPr>
      <w:r w:rsidRPr="00A30D43">
        <w:t>Este derecho ha recibido, también, explicito amparo en virtud de las disposiciones del Pacto de San José de Costa Rica, cuyo articulo 11.2 dispone “Nadie puede ser objeto de injerencias arbitrarias o abusivas en su vida privada, en la de su familia, en su domicilio o en su correspondencia, ni de ataques ilegales a su honra o reputación”. Además “Toda persona tiene derecho a la protección de la ley contra esas injerencias o esos ataques”.</w:t>
      </w:r>
    </w:p>
    <w:p w14:paraId="51D6F321" w14:textId="188A708B" w:rsidR="00C41140" w:rsidRPr="00A30D43" w:rsidRDefault="00C41140" w:rsidP="00E366B5">
      <w:pPr>
        <w:jc w:val="both"/>
      </w:pPr>
      <w:r w:rsidRPr="00A30D43">
        <w:rPr>
          <w:b/>
          <w:bCs/>
          <w:u w:val="single"/>
        </w:rPr>
        <w:t xml:space="preserve">La intimidad de las personas publicas: </w:t>
      </w:r>
      <w:r w:rsidRPr="00A30D43">
        <w:t>Si bien no pueden caber dudas acerca del derecho que tiene toda persona a resguardar su intimidad, no existe la misma convicción cuando se trata de establecer si ese ámbito de privacidad es igual para toda persona, o si hay algunas que por su notoriedad pública lo tienen visiblemente reducido.</w:t>
      </w:r>
    </w:p>
    <w:p w14:paraId="7317EED2" w14:textId="066F755D" w:rsidR="009A31F9" w:rsidRPr="00A30D43" w:rsidRDefault="00C41140" w:rsidP="00E366B5">
      <w:pPr>
        <w:jc w:val="both"/>
      </w:pPr>
      <w:r w:rsidRPr="00A30D43">
        <w:t>Indicamos entonces que el derecho a la privacidad es natural de la persona, por lo tanto, les corresponde a todos.  Ello, no excluye, empero, que deba ser apreciado de distintas maneras. Así quien ostenta una imagen conocida por la opinión pública está, evidentemente, más expuesto a ser invadido en su privacidad</w:t>
      </w:r>
      <w:r w:rsidR="009A31F9" w:rsidRPr="00A30D43">
        <w:t xml:space="preserve"> o expuesto a la mirada social</w:t>
      </w:r>
      <w:r w:rsidRPr="00A30D43">
        <w:t xml:space="preserve">. </w:t>
      </w:r>
      <w:r w:rsidR="00FE057C" w:rsidRPr="00A30D43">
        <w:t>Asimismo, estas</w:t>
      </w:r>
      <w:r w:rsidRPr="00A30D43">
        <w:t xml:space="preserve"> personalidades </w:t>
      </w:r>
      <w:r w:rsidR="00827D88" w:rsidRPr="00A30D43">
        <w:t>públicas</w:t>
      </w:r>
      <w:r w:rsidR="00FE057C" w:rsidRPr="00A30D43">
        <w:t xml:space="preserve">, cuentan por lo general, con un acceso más fluido a los medios de comunicación para replicar o aclarar tales hechos. </w:t>
      </w:r>
      <w:r w:rsidR="00FE057C" w:rsidRPr="00A30D43">
        <w:lastRenderedPageBreak/>
        <w:t>El ámbito de protección es variable y queda determinado, en definitiva, por la propia conducta del sujeto; si este ha facilitado la intromisión en su privacidad, la tutela estatal se debilita.</w:t>
      </w:r>
    </w:p>
    <w:p w14:paraId="2BB6EBE7" w14:textId="6ADCC50A" w:rsidR="00BB3D43" w:rsidRPr="00A30D43" w:rsidRDefault="005304DC" w:rsidP="00E366B5">
      <w:pPr>
        <w:jc w:val="both"/>
      </w:pPr>
      <w:r w:rsidRPr="00A30D43">
        <w:rPr>
          <w:b/>
          <w:bCs/>
          <w:u w:val="single"/>
        </w:rPr>
        <w:t xml:space="preserve">El derecho al honor:  </w:t>
      </w:r>
      <w:r w:rsidR="00FE057C" w:rsidRPr="00A30D43">
        <w:t xml:space="preserve">Este derecho </w:t>
      </w:r>
      <w:r w:rsidRPr="00A30D43">
        <w:t xml:space="preserve">lo </w:t>
      </w:r>
      <w:r w:rsidR="00FE057C" w:rsidRPr="00A30D43">
        <w:t>vinculamos</w:t>
      </w:r>
      <w:r w:rsidRPr="00A30D43">
        <w:t xml:space="preserve"> con la estima, el aprecio y la reputación que cada persona goza en la comunidad donde vive y desarrolla sus actividades</w:t>
      </w:r>
      <w:r w:rsidR="00BB3D43" w:rsidRPr="00A30D43">
        <w:t>. Se vincula con la protección de la imagen que el individuo tiene en la sociedad.</w:t>
      </w:r>
      <w:r w:rsidR="00FE057C" w:rsidRPr="00A30D43">
        <w:t xml:space="preserve"> </w:t>
      </w:r>
      <w:r w:rsidR="00BB3D43" w:rsidRPr="00A30D43">
        <w:t>Algunos autores, sin embargo, lo ubican dentro del derecho a la intimidad.</w:t>
      </w:r>
    </w:p>
    <w:p w14:paraId="0C505C23" w14:textId="3BC81E0E" w:rsidR="00BB3D43" w:rsidRPr="00A30D43" w:rsidRDefault="00E366B5" w:rsidP="00E366B5">
      <w:pPr>
        <w:jc w:val="both"/>
      </w:pPr>
      <w:r w:rsidRPr="00A30D43">
        <w:t xml:space="preserve">Por consiguiente, si bien el honor en su dimensión de dignidad humana es propio de las personas físicas, la jurisprudencia actual reconoce a las personas jurídicas la protección de su “honor objetivo”, entendido como su reputación e imagen ante la sociedad. Asimismo, el Código Civil y Comercial de la nación los tutela expresamente en su articulo 52. </w:t>
      </w:r>
      <w:r w:rsidR="009A31F9" w:rsidRPr="00A30D43">
        <w:t xml:space="preserve"> Para mejor comprensión de lo mencionado, adjuntamos los artículos.</w:t>
      </w:r>
    </w:p>
    <w:p w14:paraId="69172F44" w14:textId="5C5B6AD6" w:rsidR="00FE057C" w:rsidRPr="00A30D43" w:rsidRDefault="00FE057C" w:rsidP="00E366B5">
      <w:pPr>
        <w:jc w:val="both"/>
      </w:pPr>
      <w:r w:rsidRPr="00A30D43">
        <w:t xml:space="preserve">La Constitución Nacional no menciona expresamente el derecho al honor de manera general, aunque si refiere al “honor” en su artículo 29, ubicándolo junto a la vida y la fortuna entre los bienes que no pueden quedar a merced de facultades extraordinarias de gobierno. Se trata, entonces, de un derecho implícito (Art. 33 CN) respaldado por la Corte Suprema de Justicia en numerosos fallos. </w:t>
      </w:r>
    </w:p>
    <w:p w14:paraId="4118E85B" w14:textId="042E5B05" w:rsidR="00FE057C" w:rsidRPr="00A30D43" w:rsidRDefault="00FE057C" w:rsidP="00E366B5">
      <w:pPr>
        <w:jc w:val="both"/>
      </w:pPr>
      <w:r w:rsidRPr="00A30D43">
        <w:t>En sintonía, el Pacto de San José de Costa Rica asimila la protección del honor dentro del derecho a la intimidad. En su artículo 11.1establece “Toda persona tiene derecho al respeto de su honra y al reconocimiento de su dignidad”.</w:t>
      </w:r>
    </w:p>
    <w:p w14:paraId="55B53C80" w14:textId="4B69E98E" w:rsidR="00FE057C" w:rsidRPr="00A30D43" w:rsidRDefault="00FE057C" w:rsidP="00E366B5">
      <w:pPr>
        <w:jc w:val="both"/>
      </w:pPr>
      <w:r w:rsidRPr="00A30D43">
        <w:t>Para una comprensión integral de la tutela civil de estos derechos, el Código Civil y Comercial de la Nación los regula expresamente:</w:t>
      </w:r>
    </w:p>
    <w:p w14:paraId="32EBF32A" w14:textId="77777777" w:rsidR="009A31F9" w:rsidRPr="00A30D43" w:rsidRDefault="009A31F9" w:rsidP="009A31F9">
      <w:pPr>
        <w:jc w:val="both"/>
      </w:pPr>
      <w:r w:rsidRPr="00A30D43">
        <w:rPr>
          <w:b/>
          <w:bCs/>
        </w:rPr>
        <w:t>ARTICULO 51</w:t>
      </w:r>
      <w:r w:rsidRPr="00A30D43">
        <w:t>.- Inviolabilidad de la persona humana. La persona humana es inviolable y en cualquier circunstancia tiene derecho al reconocimiento y respeto de su dignidad.</w:t>
      </w:r>
    </w:p>
    <w:p w14:paraId="438AA87C" w14:textId="77777777" w:rsidR="009A31F9" w:rsidRPr="00A30D43" w:rsidRDefault="009A31F9" w:rsidP="009A31F9">
      <w:pPr>
        <w:jc w:val="both"/>
      </w:pPr>
      <w:r w:rsidRPr="00A30D43">
        <w:rPr>
          <w:b/>
          <w:bCs/>
        </w:rPr>
        <w:t>ARTICULO 52</w:t>
      </w:r>
      <w:r w:rsidRPr="00A30D43">
        <w:t>.- Afectaciones a la dignidad. La persona humana lesionada en su intimidad personal o familiar, honra o reputación, imagen o identidad, o que de cualquier modo resulte menoscabada en su dignidad personal, puede reclamar la prevención y reparación de los daños sufridos, conforme a lo dispuesto en el Libro Tercero, Título V, Capítulo 1.</w:t>
      </w:r>
    </w:p>
    <w:p w14:paraId="606036C7" w14:textId="77777777" w:rsidR="009A31F9" w:rsidRPr="00A30D43" w:rsidRDefault="009A31F9" w:rsidP="009A31F9">
      <w:pPr>
        <w:jc w:val="both"/>
      </w:pPr>
      <w:r w:rsidRPr="00A30D43">
        <w:rPr>
          <w:b/>
          <w:bCs/>
        </w:rPr>
        <w:t>ARTICULO 53</w:t>
      </w:r>
      <w:r w:rsidRPr="00A30D43">
        <w:t xml:space="preserve">.- Derecho a la imagen. Para captar o reproducir la imagen o la voz de una persona, de cualquier </w:t>
      </w:r>
      <w:proofErr w:type="gramStart"/>
      <w:r w:rsidRPr="00A30D43">
        <w:t>modo</w:t>
      </w:r>
      <w:proofErr w:type="gramEnd"/>
      <w:r w:rsidRPr="00A30D43">
        <w:t xml:space="preserve"> que se haga, es necesario su consentimiento, excepto en los siguientes casos:</w:t>
      </w:r>
    </w:p>
    <w:p w14:paraId="4FFB0410" w14:textId="5C7FE407" w:rsidR="009A31F9" w:rsidRPr="00A30D43" w:rsidRDefault="009A31F9" w:rsidP="009A31F9">
      <w:pPr>
        <w:pStyle w:val="Prrafodelista"/>
        <w:numPr>
          <w:ilvl w:val="0"/>
          <w:numId w:val="1"/>
        </w:numPr>
        <w:jc w:val="both"/>
      </w:pPr>
      <w:r w:rsidRPr="00A30D43">
        <w:t xml:space="preserve"> </w:t>
      </w:r>
      <w:r w:rsidRPr="00A30D43">
        <w:t>Q</w:t>
      </w:r>
      <w:r w:rsidRPr="00A30D43">
        <w:t>ue la persona participe en actos públicos;</w:t>
      </w:r>
    </w:p>
    <w:p w14:paraId="4BE60CEB" w14:textId="42108E6F" w:rsidR="009A31F9" w:rsidRPr="00A30D43" w:rsidRDefault="009A31F9" w:rsidP="009A31F9">
      <w:pPr>
        <w:pStyle w:val="Prrafodelista"/>
        <w:numPr>
          <w:ilvl w:val="0"/>
          <w:numId w:val="1"/>
        </w:numPr>
        <w:jc w:val="both"/>
      </w:pPr>
      <w:r w:rsidRPr="00A30D43">
        <w:lastRenderedPageBreak/>
        <w:t xml:space="preserve"> Q</w:t>
      </w:r>
      <w:r w:rsidRPr="00A30D43">
        <w:t>ue exista un interés científico, cultural o educacional prioritario, y se tomen las precauciones suficientes para evitar un daño innecesario;</w:t>
      </w:r>
    </w:p>
    <w:p w14:paraId="02193072" w14:textId="0E644BC2" w:rsidR="009A31F9" w:rsidRPr="00A30D43" w:rsidRDefault="009A31F9" w:rsidP="009A31F9">
      <w:pPr>
        <w:pStyle w:val="Prrafodelista"/>
        <w:numPr>
          <w:ilvl w:val="0"/>
          <w:numId w:val="1"/>
        </w:numPr>
        <w:jc w:val="both"/>
      </w:pPr>
      <w:r w:rsidRPr="00A30D43">
        <w:t xml:space="preserve"> </w:t>
      </w:r>
      <w:r w:rsidRPr="00A30D43">
        <w:t>Q</w:t>
      </w:r>
      <w:r w:rsidRPr="00A30D43">
        <w:t>ue se trate del ejercicio regular del derecho de informar sobre acontecimientos de interés general.</w:t>
      </w:r>
    </w:p>
    <w:p w14:paraId="4927D1F2" w14:textId="6FD8C9A3" w:rsidR="009A31F9" w:rsidRPr="00A30D43" w:rsidRDefault="009A31F9" w:rsidP="009A31F9">
      <w:pPr>
        <w:jc w:val="both"/>
      </w:pPr>
      <w:r w:rsidRPr="00A30D43">
        <w:t>En caso de personas fallecidas pueden prestar el consentimiento sus herederos o el designado por el causante en una disposición de última voluntad. Si hay desacuerdo entre herederos de un mismo grado, resuelve el juez. Pasados veinte años desde la muerte, la reproducción no ofensiva es libre.</w:t>
      </w:r>
    </w:p>
    <w:p w14:paraId="0A21A853" w14:textId="77777777" w:rsidR="009A31F9" w:rsidRPr="00A30D43" w:rsidRDefault="009A31F9" w:rsidP="00E366B5">
      <w:pPr>
        <w:jc w:val="both"/>
      </w:pPr>
    </w:p>
    <w:p w14:paraId="40EBC71D" w14:textId="46BE27F3" w:rsidR="00D17C6F" w:rsidRPr="00A30D43" w:rsidRDefault="00D17C6F" w:rsidP="00E366B5">
      <w:pPr>
        <w:jc w:val="both"/>
      </w:pPr>
      <w:r w:rsidRPr="00A30D43">
        <w:rPr>
          <w:b/>
          <w:bCs/>
          <w:u w:val="single"/>
        </w:rPr>
        <w:t xml:space="preserve">El derecho al nombre: </w:t>
      </w:r>
      <w:r w:rsidRPr="00A30D43">
        <w:t xml:space="preserve">Este supone, desde un enfoque meramente formal, la prerrogativa que tiene cada persona de ser reconocida ante los demás mediante la utilización de un nombre y apellido. </w:t>
      </w:r>
      <w:r w:rsidR="00FE057C" w:rsidRPr="00A30D43">
        <w:t xml:space="preserve"> </w:t>
      </w:r>
      <w:r w:rsidRPr="00A30D43">
        <w:t>En un aspecto más sustancial, el acogimiento del derecho al nombre implica el reconocimiento de un atributo natural inherente a la personalidad. Cada persona es un ser único e irrepetible, y como tal debe ser tratado y considerado.</w:t>
      </w:r>
    </w:p>
    <w:p w14:paraId="76BDCCE6" w14:textId="32110D46" w:rsidR="00D17C6F" w:rsidRPr="00A30D43" w:rsidRDefault="00D17C6F" w:rsidP="00E366B5">
      <w:pPr>
        <w:jc w:val="both"/>
      </w:pPr>
      <w:r w:rsidRPr="00A30D43">
        <w:t>Representa también un deber, en cuanto atañe a la organización social; es exigible por el poder público, y no puede ser objeto de renuncia.</w:t>
      </w:r>
    </w:p>
    <w:p w14:paraId="7F58DCB0" w14:textId="4E40C50E" w:rsidR="00D17C6F" w:rsidRPr="00A30D43" w:rsidRDefault="00D17C6F" w:rsidP="00E366B5">
      <w:pPr>
        <w:jc w:val="both"/>
      </w:pPr>
      <w:r w:rsidRPr="00A30D43">
        <w:t xml:space="preserve">La </w:t>
      </w:r>
      <w:r w:rsidR="00FE057C" w:rsidRPr="00A30D43">
        <w:t>Co</w:t>
      </w:r>
      <w:r w:rsidRPr="00A30D43">
        <w:t xml:space="preserve">nstitución </w:t>
      </w:r>
      <w:r w:rsidR="00FE057C" w:rsidRPr="00A30D43">
        <w:t>N</w:t>
      </w:r>
      <w:r w:rsidRPr="00A30D43">
        <w:t xml:space="preserve">acional no lo menciona en forma explícita pero su reconocimiento implícito es una consecuencia insoslayable del articulo 33 de ella. </w:t>
      </w:r>
      <w:r w:rsidR="00FE057C" w:rsidRPr="00A30D43">
        <w:t>En el ámbito internacional, el Pacto de San José de Costa Rica establece en su artículo 18 “Toda persona tiene derecho a un nombre propio y a los apellidos de sus padres o al de uno de ellos”</w:t>
      </w:r>
    </w:p>
    <w:p w14:paraId="51266E01" w14:textId="77777777" w:rsidR="005C45C3" w:rsidRPr="00A30D43" w:rsidRDefault="00E366B5" w:rsidP="00E366B5">
      <w:pPr>
        <w:jc w:val="both"/>
      </w:pPr>
      <w:r w:rsidRPr="00A30D43">
        <w:t>En el orden nacional, este derecho se encuentra regulado actualmente en el Código Civil y Comercial de la Nación (desde el articulo 62 a 72)</w:t>
      </w:r>
      <w:r w:rsidR="005C45C3" w:rsidRPr="00A30D43">
        <w:t>. Este marco normativo significó una profunda actualización con perspectiva de derechos humanos, adaptándose a las realidades de las nuevas generaciones. A diferencia del régimen anterior, el código vigente refleja principios modernos de igualdad de género y libertad de elección en la composición del nombre, el orden de los apellidos de los progenitores y la flexibilización de tramites en consonancia con la Ley de Identidad de Género.</w:t>
      </w:r>
    </w:p>
    <w:p w14:paraId="24ED905D" w14:textId="322A0012" w:rsidR="00D17C6F" w:rsidRPr="00A30D43" w:rsidRDefault="005C45C3" w:rsidP="00E366B5">
      <w:pPr>
        <w:jc w:val="both"/>
        <w:rPr>
          <w:b/>
          <w:bCs/>
          <w:u w:val="single"/>
        </w:rPr>
      </w:pPr>
      <w:r w:rsidRPr="00A30D43">
        <w:rPr>
          <w:b/>
          <w:bCs/>
          <w:u w:val="single"/>
        </w:rPr>
        <w:t>Derecho a la libertad de pensamiento:</w:t>
      </w:r>
    </w:p>
    <w:p w14:paraId="3A06D13C" w14:textId="76215B6E" w:rsidR="00D17C6F" w:rsidRPr="00A30D43" w:rsidRDefault="005C45C3" w:rsidP="00E366B5">
      <w:pPr>
        <w:jc w:val="both"/>
      </w:pPr>
      <w:r w:rsidRPr="00A30D43">
        <w:t xml:space="preserve">El derecho aquí tratado ampara la posibilidad de que cada persona, en su interioridad, elabore sus ideas conforme a sus propias e intimas convicciones. Parecería hallarse, </w:t>
      </w:r>
      <w:r w:rsidRPr="00A30D43">
        <w:lastRenderedPageBreak/>
        <w:t>en principio, fuera del alcance del legislador, por estar referido a un hecho que ocurre en la interioridad del hombre.</w:t>
      </w:r>
    </w:p>
    <w:p w14:paraId="179D03D5" w14:textId="3DFBC3DB" w:rsidR="009C35A1" w:rsidRPr="00A30D43" w:rsidRDefault="009C35A1" w:rsidP="00E366B5">
      <w:pPr>
        <w:jc w:val="both"/>
      </w:pPr>
      <w:r w:rsidRPr="00A30D43">
        <w:t>La libertad de pensamiento no constituye un derecho explicito en la Constitución Nacional. Su reconocimiento deriva tanto de los fines y principios de ésta como de su artículo 33.</w:t>
      </w:r>
    </w:p>
    <w:p w14:paraId="1C31B2AF" w14:textId="3F126D93" w:rsidR="009C35A1" w:rsidRPr="00A30D43" w:rsidRDefault="009C35A1" w:rsidP="00E366B5">
      <w:pPr>
        <w:jc w:val="both"/>
      </w:pPr>
      <w:r w:rsidRPr="00A30D43">
        <w:t>Su desconocimiento, además, seria claramente violatorio del articulo 19 de nuestra ley fundamental</w:t>
      </w:r>
      <w:r w:rsidR="005C4020" w:rsidRPr="00A30D43">
        <w:t>, en cuanto establece “Las acciones privadas de los hombres que de ningún modo ofendan al orden y a la moral pública, ni perjudiquen a un tercero, están solo reservadas a Dios, y exentas de la autoridad de los Magistrados”.</w:t>
      </w:r>
    </w:p>
    <w:p w14:paraId="17D625AA" w14:textId="00E5021D" w:rsidR="005C4020" w:rsidRPr="00A30D43" w:rsidRDefault="005C4020" w:rsidP="00E366B5">
      <w:pPr>
        <w:jc w:val="both"/>
      </w:pPr>
      <w:r w:rsidRPr="00A30D43">
        <w:t>El Pacto de San José de Costa Rica dispone que “Toda persona tiene derecho a la libertad de pensamiento” (Art.13.1).</w:t>
      </w:r>
    </w:p>
    <w:p w14:paraId="3DED2024" w14:textId="5CA6CA6E" w:rsidR="005C4020" w:rsidRPr="00A30D43" w:rsidRDefault="005C4020" w:rsidP="00E366B5">
      <w:pPr>
        <w:jc w:val="both"/>
        <w:rPr>
          <w:b/>
          <w:bCs/>
          <w:u w:val="single"/>
        </w:rPr>
      </w:pPr>
      <w:r w:rsidRPr="00A30D43">
        <w:rPr>
          <w:b/>
          <w:bCs/>
          <w:u w:val="single"/>
        </w:rPr>
        <w:t xml:space="preserve">El derecho a la libertad de expresión. </w:t>
      </w:r>
    </w:p>
    <w:p w14:paraId="679C243D" w14:textId="03FC9CD3" w:rsidR="005C4020" w:rsidRPr="00A30D43" w:rsidRDefault="005C4020" w:rsidP="00E366B5">
      <w:pPr>
        <w:jc w:val="both"/>
      </w:pPr>
      <w:r w:rsidRPr="00A30D43">
        <w:t>Este derecho ampara la manifestación del pensamiento, cualquiera que sea el medio empleado. Tanto la palabra oral como escrita, la imagen, el gesto y la actitud están protegidos por esta libertad.</w:t>
      </w:r>
    </w:p>
    <w:p w14:paraId="10B7E23C" w14:textId="18816539" w:rsidR="005C4020" w:rsidRPr="00A30D43" w:rsidRDefault="005C4020" w:rsidP="00E366B5">
      <w:pPr>
        <w:jc w:val="both"/>
      </w:pPr>
      <w:r w:rsidRPr="00A30D43">
        <w:t xml:space="preserve">La libertad de expresión constituyo uno de los primeros y más relevantes logros del constitucionalismo clásico, cuyo contenido más sustancial fue la prohibición de la censura previa. </w:t>
      </w:r>
    </w:p>
    <w:p w14:paraId="39F4C691" w14:textId="5DA49AEC" w:rsidR="005C4020" w:rsidRPr="00A30D43" w:rsidRDefault="005C4020" w:rsidP="00E366B5">
      <w:pPr>
        <w:jc w:val="both"/>
      </w:pPr>
      <w:r w:rsidRPr="00A30D43">
        <w:t>Se trata de una libertad preferente o fundante, porque su ausencia genera, como inmediata consecuencia el derrumbe de otros derechos fundamentales (libertad religiosa, de enseñar y aprender, derecho a la información; libertad de prensa; libertad de imprenta; etc.)</w:t>
      </w:r>
    </w:p>
    <w:p w14:paraId="155E0279" w14:textId="40A72A71" w:rsidR="005C4020" w:rsidRPr="00A30D43" w:rsidRDefault="005C4020" w:rsidP="00E366B5">
      <w:pPr>
        <w:jc w:val="both"/>
      </w:pPr>
      <w:r w:rsidRPr="00A30D43">
        <w:t xml:space="preserve">La Constitución nacional </w:t>
      </w:r>
      <w:r w:rsidR="009A0B28" w:rsidRPr="00A30D43">
        <w:t>no</w:t>
      </w:r>
      <w:r w:rsidRPr="00A30D43">
        <w:t xml:space="preserve"> la contempla explícitamente, aunque</w:t>
      </w:r>
      <w:r w:rsidR="009A0B28" w:rsidRPr="00A30D43">
        <w:t xml:space="preserve"> originariamente las</w:t>
      </w:r>
      <w:r w:rsidRPr="00A30D43">
        <w:t xml:space="preserve"> mismas razones que fundamen</w:t>
      </w:r>
      <w:r w:rsidR="009A0B28" w:rsidRPr="00A30D43">
        <w:t xml:space="preserve">taban </w:t>
      </w:r>
      <w:r w:rsidR="00624585" w:rsidRPr="00A30D43">
        <w:t>la libertad de pensamiento justifi</w:t>
      </w:r>
      <w:r w:rsidR="009A0B28" w:rsidRPr="00A30D43">
        <w:t xml:space="preserve">caban </w:t>
      </w:r>
      <w:r w:rsidR="00624585" w:rsidRPr="00A30D43">
        <w:t>su resguardo constitucional.</w:t>
      </w:r>
    </w:p>
    <w:p w14:paraId="0D98B8DF" w14:textId="1D1D7AD0" w:rsidR="00624585" w:rsidRPr="00A30D43" w:rsidRDefault="00624585" w:rsidP="00E366B5">
      <w:pPr>
        <w:jc w:val="both"/>
      </w:pPr>
      <w:r w:rsidRPr="00A30D43">
        <w:t xml:space="preserve">No se puede concebir la existencia de un régimen republicano de gobierno sin libertad de pensamiento y de expresión. </w:t>
      </w:r>
      <w:proofErr w:type="gramStart"/>
      <w:r w:rsidRPr="00A30D43">
        <w:t>Además</w:t>
      </w:r>
      <w:proofErr w:type="gramEnd"/>
      <w:r w:rsidRPr="00A30D43">
        <w:t xml:space="preserve"> la libertad de expresión </w:t>
      </w:r>
      <w:r w:rsidR="00CC5E84" w:rsidRPr="00A30D43">
        <w:t>constituye u</w:t>
      </w:r>
      <w:r w:rsidRPr="00A30D43">
        <w:t>na facultad natural de la persona</w:t>
      </w:r>
      <w:r w:rsidR="009A0B28" w:rsidRPr="00A30D43">
        <w:t>.</w:t>
      </w:r>
    </w:p>
    <w:p w14:paraId="26450197" w14:textId="33FB531B" w:rsidR="00E906AE" w:rsidRPr="00A30D43" w:rsidRDefault="009A0B28" w:rsidP="00E366B5">
      <w:pPr>
        <w:jc w:val="both"/>
      </w:pPr>
      <w:r w:rsidRPr="00A30D43">
        <w:t xml:space="preserve">No obstante, </w:t>
      </w:r>
      <w:r w:rsidR="00CC5E84" w:rsidRPr="00A30D43">
        <w:t>c</w:t>
      </w:r>
      <w:r w:rsidR="003A0CCF" w:rsidRPr="00A30D43">
        <w:t xml:space="preserve">on la reforma constitucional de 1994 </w:t>
      </w:r>
      <w:r w:rsidRPr="00A30D43">
        <w:t>con la jerarquización de los tratados internacionales</w:t>
      </w:r>
      <w:r w:rsidR="003A0CCF" w:rsidRPr="00A30D43">
        <w:t xml:space="preserve"> sobre derechos humanos</w:t>
      </w:r>
      <w:r w:rsidRPr="00A30D43">
        <w:t xml:space="preserve"> (art.75 inc.22), la libertad de expresión </w:t>
      </w:r>
      <w:r w:rsidR="003A0CCF" w:rsidRPr="00A30D43">
        <w:t>adquirió jerarquía explicita</w:t>
      </w:r>
      <w:r w:rsidRPr="00A30D43">
        <w:t xml:space="preserve"> </w:t>
      </w:r>
      <w:r w:rsidR="003A0CCF" w:rsidRPr="00A30D43">
        <w:t>en nuestro ordenamiento. A</w:t>
      </w:r>
      <w:r w:rsidRPr="00A30D43">
        <w:t xml:space="preserve"> través del articulo 13 del Pacto de San José de Costa Rica y el articulo 19 del Pacto Internacional de Derechos civiles y Políticos. </w:t>
      </w:r>
    </w:p>
    <w:p w14:paraId="76346ECD" w14:textId="77777777" w:rsidR="00E906AE" w:rsidRPr="00A30D43" w:rsidRDefault="00E906AE" w:rsidP="00E366B5">
      <w:pPr>
        <w:jc w:val="both"/>
        <w:rPr>
          <w:b/>
          <w:bCs/>
          <w:u w:val="single"/>
        </w:rPr>
      </w:pPr>
    </w:p>
    <w:p w14:paraId="3982ED63" w14:textId="405ACB42" w:rsidR="00E906AE" w:rsidRPr="00A30D43" w:rsidRDefault="00E906AE" w:rsidP="00E366B5">
      <w:pPr>
        <w:jc w:val="both"/>
        <w:rPr>
          <w:b/>
          <w:bCs/>
          <w:u w:val="single"/>
        </w:rPr>
      </w:pPr>
      <w:r w:rsidRPr="00A30D43">
        <w:rPr>
          <w:b/>
          <w:bCs/>
          <w:u w:val="single"/>
        </w:rPr>
        <w:t xml:space="preserve">Derecho a la libertad de imprenta: </w:t>
      </w:r>
    </w:p>
    <w:p w14:paraId="5847B2BC" w14:textId="4E6E8B14" w:rsidR="007B6529" w:rsidRPr="00A30D43" w:rsidRDefault="00E906AE" w:rsidP="00E366B5">
      <w:pPr>
        <w:jc w:val="both"/>
      </w:pPr>
      <w:r w:rsidRPr="00A30D43">
        <w:t>Est</w:t>
      </w:r>
      <w:r w:rsidR="003A0CCF" w:rsidRPr="00A30D43">
        <w:t>e derecho históricamente hizo alusión a los medios gráficos (libros, folletos, periódicos</w:t>
      </w:r>
      <w:proofErr w:type="gramStart"/>
      <w:r w:rsidR="003A0CCF" w:rsidRPr="00A30D43">
        <w:t>)</w:t>
      </w:r>
      <w:r w:rsidRPr="00A30D43">
        <w:t>.</w:t>
      </w:r>
      <w:r w:rsidR="003A0CCF" w:rsidRPr="00A30D43">
        <w:t>El</w:t>
      </w:r>
      <w:proofErr w:type="gramEnd"/>
      <w:r w:rsidR="003A0CCF" w:rsidRPr="00A30D43">
        <w:t xml:space="preserve"> articulo 32 de la Constitución Nacional establece un mandato categórico al Congreso Federal al prohibir dictar leyes que la restrinjan o establecer sobre ella la jurisdicción federal, buscando resguardar las autonomías provinciales en esta materia. </w:t>
      </w:r>
      <w:r w:rsidRPr="00A30D43">
        <w:t xml:space="preserve"> </w:t>
      </w:r>
    </w:p>
    <w:p w14:paraId="7EA7A58C" w14:textId="77777777" w:rsidR="000A78CE" w:rsidRPr="00A30D43" w:rsidRDefault="000A78CE" w:rsidP="00E366B5">
      <w:pPr>
        <w:jc w:val="both"/>
      </w:pPr>
    </w:p>
    <w:p w14:paraId="1629B8D1" w14:textId="6ED9D1DE" w:rsidR="00E906AE" w:rsidRPr="00A30D43" w:rsidRDefault="00E906AE" w:rsidP="00E366B5">
      <w:pPr>
        <w:jc w:val="both"/>
        <w:rPr>
          <w:b/>
          <w:bCs/>
          <w:u w:val="single"/>
        </w:rPr>
      </w:pPr>
      <w:r w:rsidRPr="00A30D43">
        <w:rPr>
          <w:b/>
          <w:bCs/>
          <w:u w:val="single"/>
        </w:rPr>
        <w:t>El derecho a la libertad de prensa:</w:t>
      </w:r>
    </w:p>
    <w:p w14:paraId="4DD48DFE" w14:textId="3C4ACBA3" w:rsidR="00E906AE" w:rsidRPr="00A30D43" w:rsidRDefault="00E906AE" w:rsidP="00E366B5">
      <w:pPr>
        <w:jc w:val="both"/>
      </w:pPr>
      <w:r w:rsidRPr="00A30D43">
        <w:t>Este derecho, en sentido estricto, tutela la expresión del pensamiento, por los medios gráficos periódicos (diarios, semanarios, mensuarios, etc.) Cabe sostener que la libertad de prensa constituye uno de los aspectos específicos de la libertad de imprenta.</w:t>
      </w:r>
    </w:p>
    <w:p w14:paraId="138E09A1" w14:textId="5FAADCBC" w:rsidR="007B6529" w:rsidRPr="00A30D43" w:rsidRDefault="007B6529" w:rsidP="00E366B5">
      <w:pPr>
        <w:jc w:val="both"/>
      </w:pPr>
      <w:r w:rsidRPr="00A30D43">
        <w:t xml:space="preserve">El articulo 14 de la </w:t>
      </w:r>
      <w:r w:rsidR="00125828" w:rsidRPr="00A30D43">
        <w:t>Constitución</w:t>
      </w:r>
      <w:r w:rsidRPr="00A30D43">
        <w:t xml:space="preserve"> Nacional consagra, entre los derechos de todos los habitantes, el “de publicar sus ideas de prensa sin censura previa”.</w:t>
      </w:r>
    </w:p>
    <w:p w14:paraId="3CE63DC3" w14:textId="2D8E541D" w:rsidR="007B6529" w:rsidRPr="00A30D43" w:rsidRDefault="007B6529" w:rsidP="00E366B5">
      <w:pPr>
        <w:jc w:val="both"/>
      </w:pPr>
      <w:r w:rsidRPr="00A30D43">
        <w:t xml:space="preserve">Esta tutela tan marcada tiene justificación en la importancia que la prensa reviste en todo el sistema republicano de gobierno, uno de cuyos caracteres es la publicidad de sus actos. </w:t>
      </w:r>
      <w:r w:rsidR="00125828" w:rsidRPr="00A30D43">
        <w:t>Además,</w:t>
      </w:r>
      <w:r w:rsidRPr="00A30D43">
        <w:t xml:space="preserve"> en la época de sanción de nuestra </w:t>
      </w:r>
      <w:r w:rsidR="00125828" w:rsidRPr="00A30D43">
        <w:t>constitución</w:t>
      </w:r>
      <w:r w:rsidRPr="00A30D43">
        <w:t xml:space="preserve">, la prensa </w:t>
      </w:r>
      <w:r w:rsidR="00125828" w:rsidRPr="00A30D43">
        <w:t>constituía el medio de comunicación más relevante para la formación de la opinión pública. El otro medio, en aquellos tiempos, era el teatro, pero con un alcance mucho más restringido.</w:t>
      </w:r>
    </w:p>
    <w:p w14:paraId="0D1B0449" w14:textId="03D52B23" w:rsidR="00125828" w:rsidRPr="00A30D43" w:rsidRDefault="00125828" w:rsidP="00E366B5">
      <w:pPr>
        <w:jc w:val="both"/>
      </w:pPr>
      <w:r w:rsidRPr="00A30D43">
        <w:t xml:space="preserve">Los demás canales de comunicación social advinieron muchos años después. </w:t>
      </w:r>
    </w:p>
    <w:p w14:paraId="11A0221D" w14:textId="0B7F7970" w:rsidR="00125828" w:rsidRPr="00A30D43" w:rsidRDefault="00125828" w:rsidP="00E366B5">
      <w:pPr>
        <w:jc w:val="both"/>
      </w:pPr>
      <w:r w:rsidRPr="00A30D43">
        <w:t xml:space="preserve">Sin embargo, la expresión “libertad de prensa” fue adquiriendo un alcance sumamente amplio, que comprende no solo a cualquier medio gráfico, sino también a todos los medios de comunicación social. </w:t>
      </w:r>
    </w:p>
    <w:p w14:paraId="3D5D43CC" w14:textId="15106C02" w:rsidR="00125828" w:rsidRPr="00A30D43" w:rsidRDefault="00125828" w:rsidP="00E366B5">
      <w:pPr>
        <w:jc w:val="both"/>
      </w:pPr>
      <w:r w:rsidRPr="00A30D43">
        <w:t>El articulo 14 al asegurar la libertad de prensa, prohíbe la censura previa. Se debe entender por “censura” todo medio o procedimiento destinado a obstaculizar, controlar o restringir la libre expresión de las ideas.</w:t>
      </w:r>
    </w:p>
    <w:p w14:paraId="7FEBD3BF" w14:textId="786D753E" w:rsidR="00B16F32" w:rsidRPr="00A30D43" w:rsidRDefault="00B16F32" w:rsidP="00E366B5">
      <w:pPr>
        <w:jc w:val="both"/>
      </w:pPr>
      <w:r w:rsidRPr="00A30D43">
        <w:t xml:space="preserve">La Convención Americana sobre Derechos Humanos (Pacto de San José de Costa Rica) ha establecido también un criterio amplio, al disponer que el ejercicio del derecho a la libertad de expresión “no puede estar sujeto a previa censura sino a responsabilidades ulteriores, las que deben estar expresamente fijadas por la ley y ser necesarias para </w:t>
      </w:r>
      <w:r w:rsidRPr="00A30D43">
        <w:lastRenderedPageBreak/>
        <w:t>asegurar: a. el respeto a los derechos o a la reputación de los demás, o b. la protección de la seguridad nacional, el orden público o la salud o la moral públicas.”</w:t>
      </w:r>
    </w:p>
    <w:p w14:paraId="3210C2DC" w14:textId="3610E9C0" w:rsidR="003A0CCF" w:rsidRPr="00A30D43" w:rsidRDefault="00CC5E84" w:rsidP="00E366B5">
      <w:pPr>
        <w:jc w:val="both"/>
      </w:pPr>
      <w:r w:rsidRPr="00A30D43">
        <w:t>Ahora bien,</w:t>
      </w:r>
      <w:r w:rsidR="003A0CCF" w:rsidRPr="00A30D43">
        <w:t xml:space="preserve"> con el paso del tiempo</w:t>
      </w:r>
      <w:r w:rsidRPr="00A30D43">
        <w:t>, y la globalización de la era moderna</w:t>
      </w:r>
      <w:r w:rsidR="003A0CCF" w:rsidRPr="00A30D43">
        <w:t xml:space="preserve">, la jurisprudencia extendió conceptualmente la “libertad de prensa” a todos los medios de comunicación audiovisual (radio, televisión), </w:t>
      </w:r>
      <w:r w:rsidRPr="00A30D43">
        <w:t>aplicándose</w:t>
      </w:r>
      <w:r w:rsidR="003A0CCF" w:rsidRPr="00A30D43">
        <w:t xml:space="preserve"> también </w:t>
      </w:r>
      <w:r w:rsidRPr="00A30D43">
        <w:t>en el</w:t>
      </w:r>
      <w:r w:rsidR="003A0CCF" w:rsidRPr="00A30D43">
        <w:t xml:space="preserve"> entorno digital que hoy en día nos rodea (sitios web, redes sociales, buscadores, plataformas de </w:t>
      </w:r>
      <w:proofErr w:type="spellStart"/>
      <w:r w:rsidR="003A0CCF" w:rsidRPr="00A30D43">
        <w:t>streaming</w:t>
      </w:r>
      <w:proofErr w:type="spellEnd"/>
      <w:r w:rsidR="003A0CCF" w:rsidRPr="00A30D43">
        <w:t xml:space="preserve">, etc.). Los tribunales nacionales equiparan los bloqueos arbitrarios de cuentas o la eliminación algorítmica de contenidos en plataformas con las formas modernas de censura previa. </w:t>
      </w:r>
    </w:p>
    <w:p w14:paraId="1C851083" w14:textId="1D468ED4" w:rsidR="00125828" w:rsidRPr="00A30D43" w:rsidRDefault="00B16F32" w:rsidP="00E366B5">
      <w:pPr>
        <w:jc w:val="both"/>
        <w:rPr>
          <w:b/>
          <w:bCs/>
          <w:u w:val="single"/>
        </w:rPr>
      </w:pPr>
      <w:r w:rsidRPr="00A30D43">
        <w:rPr>
          <w:b/>
          <w:bCs/>
          <w:u w:val="single"/>
        </w:rPr>
        <w:t>Dicho esto, ahora vamos a mencionar los límites a la libertad de prensa.</w:t>
      </w:r>
    </w:p>
    <w:p w14:paraId="545BF97F" w14:textId="3BA7E386" w:rsidR="00B16F32" w:rsidRPr="00A30D43" w:rsidRDefault="00B16F32" w:rsidP="00E366B5">
      <w:pPr>
        <w:jc w:val="both"/>
      </w:pPr>
      <w:r w:rsidRPr="00A30D43">
        <w:t>Como ya se indicó, la libertad de prensa entendida desde un concepto amplio es uno de los derechos protegidos firmemente en nuestro régimen constitucional. Y ya dijimos que hay razones fundadas para ello.</w:t>
      </w:r>
    </w:p>
    <w:p w14:paraId="44281211" w14:textId="74BE7FC3" w:rsidR="00B16F32" w:rsidRPr="00A30D43" w:rsidRDefault="00B16F32" w:rsidP="00E366B5">
      <w:pPr>
        <w:jc w:val="both"/>
      </w:pPr>
      <w:r w:rsidRPr="00A30D43">
        <w:t>Sin embargo, la libertad de prensa, como cualquier otro derecho constitucional, no es absoluta. El propio articulo 14 de la Constitución Nacional establece que el ejercicio de los derechos que enumera – entre ellos, el de publicar las ideas por la prensa sin censura previa- está sujeto “a las leyes que lo reglamenten”.</w:t>
      </w:r>
    </w:p>
    <w:p w14:paraId="4D71D542" w14:textId="784F79FF" w:rsidR="00B16F32" w:rsidRPr="00A30D43" w:rsidRDefault="00B16F32" w:rsidP="00E366B5">
      <w:pPr>
        <w:jc w:val="both"/>
      </w:pPr>
      <w:r w:rsidRPr="00A30D43">
        <w:t xml:space="preserve">Entonces, uno de los límites que tiene la libertad de prensa es la potestad reglamentaria del Estado, </w:t>
      </w:r>
      <w:r w:rsidR="009A0B28" w:rsidRPr="00A30D43">
        <w:t>que,</w:t>
      </w:r>
      <w:r w:rsidRPr="00A30D43">
        <w:t xml:space="preserve"> en este caso, y por propio mandato constitucional, debe ser, además de razonable, mínima. Otro limite lo constituyen los </w:t>
      </w:r>
      <w:r w:rsidR="009A0B28" w:rsidRPr="00A30D43">
        <w:t>legítimos</w:t>
      </w:r>
      <w:r w:rsidRPr="00A30D43">
        <w:t xml:space="preserve"> derechos de los demás. No se puede utilizar la libertad de prensa para ofender el honor o invadir impunemente la intimidad</w:t>
      </w:r>
      <w:r w:rsidR="009A0B28" w:rsidRPr="00A30D43">
        <w:t xml:space="preserve"> de las personas. En este caso, se trata de lograr un equilibrio entre la libertad de prensa, como rasgo prominente y necesario de la libertad política, y los derechos personales, que son también anteriores al Estado mismo. </w:t>
      </w:r>
    </w:p>
    <w:p w14:paraId="6B761A0E" w14:textId="4363B565" w:rsidR="00CC5E84" w:rsidRPr="00A30D43" w:rsidRDefault="00CC5E84" w:rsidP="00E366B5">
      <w:pPr>
        <w:jc w:val="both"/>
        <w:rPr>
          <w:b/>
          <w:bCs/>
          <w:u w:val="single"/>
        </w:rPr>
      </w:pPr>
      <w:r w:rsidRPr="00A30D43">
        <w:rPr>
          <w:b/>
          <w:bCs/>
          <w:u w:val="single"/>
        </w:rPr>
        <w:t xml:space="preserve">El derecho de réplica. </w:t>
      </w:r>
    </w:p>
    <w:p w14:paraId="248ACD83" w14:textId="5A5E5649" w:rsidR="003873B1" w:rsidRDefault="003873B1" w:rsidP="00E366B5">
      <w:pPr>
        <w:jc w:val="both"/>
      </w:pPr>
      <w:r w:rsidRPr="00A30D43">
        <w:t xml:space="preserve">El derecho de réplica – de rectificación y respuesta- como debe denominárselo -es la facultad que tiene toda persona mencionada por un medio de difusión, en forma errónea o agraviante, para utilizar el mismo medio a fin de hacer la aclaración o reparar el agravio. No se trata de refutar opiniones vertidas por los medios de comunicación, sino de tener la oportunidad de mostrar la verdad ante el error, o defender el honor si ha sido injustamente ofendido. </w:t>
      </w:r>
    </w:p>
    <w:p w14:paraId="162840FE" w14:textId="00274E4F" w:rsidR="008B24A0" w:rsidRDefault="008B24A0" w:rsidP="00E366B5">
      <w:pPr>
        <w:jc w:val="both"/>
      </w:pPr>
      <w:r>
        <w:t>En el ámbito internacional, este derecho se encuentra expresamente consagrado en el artículo 14 de la Convención Americana sobre Derechos Humanos.</w:t>
      </w:r>
    </w:p>
    <w:p w14:paraId="1ED8C18E" w14:textId="40EB74D1" w:rsidR="007F59DD" w:rsidRDefault="008B24A0" w:rsidP="00E366B5">
      <w:pPr>
        <w:jc w:val="both"/>
      </w:pPr>
      <w:r>
        <w:lastRenderedPageBreak/>
        <w:t xml:space="preserve">En el orden nacional, la vigencia de este derecho marco un hito histórico en la jurisprudencia de la Corte Suprema de Justicia de la Nación con el célebre fallo </w:t>
      </w:r>
      <w:r>
        <w:t>“</w:t>
      </w:r>
      <w:proofErr w:type="spellStart"/>
      <w:r>
        <w:t>Ekmekdjian</w:t>
      </w:r>
      <w:proofErr w:type="spellEnd"/>
      <w:r>
        <w:t xml:space="preserve"> c/ </w:t>
      </w:r>
      <w:proofErr w:type="spellStart"/>
      <w:r>
        <w:t>Sofovich</w:t>
      </w:r>
      <w:proofErr w:type="spellEnd"/>
      <w:r>
        <w:t xml:space="preserve"> </w:t>
      </w:r>
      <w:r w:rsidR="007F59DD">
        <w:t>“del</w:t>
      </w:r>
      <w:r>
        <w:t xml:space="preserve"> año </w:t>
      </w:r>
      <w:r>
        <w:t>1992</w:t>
      </w:r>
      <w:r>
        <w:t>). A partir de este precedente, el máximo tribunal determinó que el derecho a réplica es operativo en nuestro país; consecuencia de esto, cualquier habitante puede exigirlo y los jueces deben garantizarlo de forma directa.</w:t>
      </w:r>
    </w:p>
    <w:p w14:paraId="7ACE7BDE" w14:textId="725F80F2" w:rsidR="007F59DD" w:rsidRPr="00A30D43" w:rsidRDefault="007F59DD" w:rsidP="00E366B5">
      <w:pPr>
        <w:jc w:val="both"/>
      </w:pPr>
      <w:r>
        <w:t>Asimismo, en el ámbito del derecho privado actual (Código Civil y Comercial de la Nación), en su artículo 52, ampara las acciones destinadas a la prevención y reparación de los daños a la dignidad y la reputación”</w:t>
      </w:r>
    </w:p>
    <w:sectPr w:rsidR="007F59DD" w:rsidRPr="00A30D4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E320CF8"/>
    <w:multiLevelType w:val="hybridMultilevel"/>
    <w:tmpl w:val="335CE1E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3729050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001"/>
    <w:rsid w:val="000A78CE"/>
    <w:rsid w:val="00125828"/>
    <w:rsid w:val="00320A11"/>
    <w:rsid w:val="003873B1"/>
    <w:rsid w:val="003A0CCF"/>
    <w:rsid w:val="005304DC"/>
    <w:rsid w:val="005C4020"/>
    <w:rsid w:val="005C45C3"/>
    <w:rsid w:val="00624585"/>
    <w:rsid w:val="00734001"/>
    <w:rsid w:val="007B6529"/>
    <w:rsid w:val="007F59DD"/>
    <w:rsid w:val="00827D88"/>
    <w:rsid w:val="008B24A0"/>
    <w:rsid w:val="009A0B28"/>
    <w:rsid w:val="009A31F9"/>
    <w:rsid w:val="009C35A1"/>
    <w:rsid w:val="00A30D43"/>
    <w:rsid w:val="00B16F32"/>
    <w:rsid w:val="00BB3D43"/>
    <w:rsid w:val="00C41140"/>
    <w:rsid w:val="00CC5E84"/>
    <w:rsid w:val="00D17C6F"/>
    <w:rsid w:val="00E366B5"/>
    <w:rsid w:val="00E906AE"/>
    <w:rsid w:val="00FE057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ecimalSymbol w:val=","/>
  <w:listSeparator w:val=";"/>
  <w14:docId w14:val="2FB1F47C"/>
  <w15:chartTrackingRefBased/>
  <w15:docId w15:val="{6A968E76-1C1C-6547-8507-FE2DAE2F1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paragraph" w:styleId="Ttulo1">
    <w:name w:val="heading 1"/>
    <w:basedOn w:val="Normal"/>
    <w:next w:val="Normal"/>
    <w:link w:val="Ttulo1Car"/>
    <w:uiPriority w:val="9"/>
    <w:qFormat/>
    <w:rsid w:val="007340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340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3400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3400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3400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3400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3400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3400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3400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34001"/>
    <w:rPr>
      <w:rFonts w:asciiTheme="majorHAnsi" w:eastAsiaTheme="majorEastAsia" w:hAnsiTheme="majorHAnsi" w:cstheme="majorBidi"/>
      <w:color w:val="0F4761" w:themeColor="accent1" w:themeShade="BF"/>
      <w:sz w:val="40"/>
      <w:szCs w:val="40"/>
      <w:lang w:val="es-ES"/>
    </w:rPr>
  </w:style>
  <w:style w:type="character" w:customStyle="1" w:styleId="Ttulo2Car">
    <w:name w:val="Título 2 Car"/>
    <w:basedOn w:val="Fuentedeprrafopredeter"/>
    <w:link w:val="Ttulo2"/>
    <w:uiPriority w:val="9"/>
    <w:semiHidden/>
    <w:rsid w:val="00734001"/>
    <w:rPr>
      <w:rFonts w:asciiTheme="majorHAnsi" w:eastAsiaTheme="majorEastAsia" w:hAnsiTheme="majorHAnsi" w:cstheme="majorBidi"/>
      <w:color w:val="0F4761" w:themeColor="accent1" w:themeShade="BF"/>
      <w:sz w:val="32"/>
      <w:szCs w:val="32"/>
      <w:lang w:val="es-ES"/>
    </w:rPr>
  </w:style>
  <w:style w:type="character" w:customStyle="1" w:styleId="Ttulo3Car">
    <w:name w:val="Título 3 Car"/>
    <w:basedOn w:val="Fuentedeprrafopredeter"/>
    <w:link w:val="Ttulo3"/>
    <w:uiPriority w:val="9"/>
    <w:semiHidden/>
    <w:rsid w:val="00734001"/>
    <w:rPr>
      <w:rFonts w:eastAsiaTheme="majorEastAsia" w:cstheme="majorBidi"/>
      <w:color w:val="0F4761" w:themeColor="accent1" w:themeShade="BF"/>
      <w:sz w:val="28"/>
      <w:szCs w:val="28"/>
      <w:lang w:val="es-ES"/>
    </w:rPr>
  </w:style>
  <w:style w:type="character" w:customStyle="1" w:styleId="Ttulo4Car">
    <w:name w:val="Título 4 Car"/>
    <w:basedOn w:val="Fuentedeprrafopredeter"/>
    <w:link w:val="Ttulo4"/>
    <w:uiPriority w:val="9"/>
    <w:semiHidden/>
    <w:rsid w:val="00734001"/>
    <w:rPr>
      <w:rFonts w:eastAsiaTheme="majorEastAsia" w:cstheme="majorBidi"/>
      <w:i/>
      <w:iCs/>
      <w:color w:val="0F4761" w:themeColor="accent1" w:themeShade="BF"/>
      <w:lang w:val="es-ES"/>
    </w:rPr>
  </w:style>
  <w:style w:type="character" w:customStyle="1" w:styleId="Ttulo5Car">
    <w:name w:val="Título 5 Car"/>
    <w:basedOn w:val="Fuentedeprrafopredeter"/>
    <w:link w:val="Ttulo5"/>
    <w:uiPriority w:val="9"/>
    <w:semiHidden/>
    <w:rsid w:val="00734001"/>
    <w:rPr>
      <w:rFonts w:eastAsiaTheme="majorEastAsia" w:cstheme="majorBidi"/>
      <w:color w:val="0F4761" w:themeColor="accent1" w:themeShade="BF"/>
      <w:lang w:val="es-ES"/>
    </w:rPr>
  </w:style>
  <w:style w:type="character" w:customStyle="1" w:styleId="Ttulo6Car">
    <w:name w:val="Título 6 Car"/>
    <w:basedOn w:val="Fuentedeprrafopredeter"/>
    <w:link w:val="Ttulo6"/>
    <w:uiPriority w:val="9"/>
    <w:semiHidden/>
    <w:rsid w:val="00734001"/>
    <w:rPr>
      <w:rFonts w:eastAsiaTheme="majorEastAsia" w:cstheme="majorBidi"/>
      <w:i/>
      <w:iCs/>
      <w:color w:val="595959" w:themeColor="text1" w:themeTint="A6"/>
      <w:lang w:val="es-ES"/>
    </w:rPr>
  </w:style>
  <w:style w:type="character" w:customStyle="1" w:styleId="Ttulo7Car">
    <w:name w:val="Título 7 Car"/>
    <w:basedOn w:val="Fuentedeprrafopredeter"/>
    <w:link w:val="Ttulo7"/>
    <w:uiPriority w:val="9"/>
    <w:semiHidden/>
    <w:rsid w:val="00734001"/>
    <w:rPr>
      <w:rFonts w:eastAsiaTheme="majorEastAsia" w:cstheme="majorBidi"/>
      <w:color w:val="595959" w:themeColor="text1" w:themeTint="A6"/>
      <w:lang w:val="es-ES"/>
    </w:rPr>
  </w:style>
  <w:style w:type="character" w:customStyle="1" w:styleId="Ttulo8Car">
    <w:name w:val="Título 8 Car"/>
    <w:basedOn w:val="Fuentedeprrafopredeter"/>
    <w:link w:val="Ttulo8"/>
    <w:uiPriority w:val="9"/>
    <w:semiHidden/>
    <w:rsid w:val="00734001"/>
    <w:rPr>
      <w:rFonts w:eastAsiaTheme="majorEastAsia" w:cstheme="majorBidi"/>
      <w:i/>
      <w:iCs/>
      <w:color w:val="272727" w:themeColor="text1" w:themeTint="D8"/>
      <w:lang w:val="es-ES"/>
    </w:rPr>
  </w:style>
  <w:style w:type="character" w:customStyle="1" w:styleId="Ttulo9Car">
    <w:name w:val="Título 9 Car"/>
    <w:basedOn w:val="Fuentedeprrafopredeter"/>
    <w:link w:val="Ttulo9"/>
    <w:uiPriority w:val="9"/>
    <w:semiHidden/>
    <w:rsid w:val="00734001"/>
    <w:rPr>
      <w:rFonts w:eastAsiaTheme="majorEastAsia" w:cstheme="majorBidi"/>
      <w:color w:val="272727" w:themeColor="text1" w:themeTint="D8"/>
      <w:lang w:val="es-ES"/>
    </w:rPr>
  </w:style>
  <w:style w:type="paragraph" w:styleId="Ttulo">
    <w:name w:val="Title"/>
    <w:basedOn w:val="Normal"/>
    <w:next w:val="Normal"/>
    <w:link w:val="TtuloCar"/>
    <w:uiPriority w:val="10"/>
    <w:qFormat/>
    <w:rsid w:val="007340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34001"/>
    <w:rPr>
      <w:rFonts w:asciiTheme="majorHAnsi" w:eastAsiaTheme="majorEastAsia" w:hAnsiTheme="majorHAnsi" w:cstheme="majorBidi"/>
      <w:spacing w:val="-10"/>
      <w:kern w:val="28"/>
      <w:sz w:val="56"/>
      <w:szCs w:val="56"/>
      <w:lang w:val="es-ES"/>
    </w:rPr>
  </w:style>
  <w:style w:type="paragraph" w:styleId="Subttulo">
    <w:name w:val="Subtitle"/>
    <w:basedOn w:val="Normal"/>
    <w:next w:val="Normal"/>
    <w:link w:val="SubttuloCar"/>
    <w:uiPriority w:val="11"/>
    <w:qFormat/>
    <w:rsid w:val="0073400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34001"/>
    <w:rPr>
      <w:rFonts w:eastAsiaTheme="majorEastAsia" w:cstheme="majorBidi"/>
      <w:color w:val="595959" w:themeColor="text1" w:themeTint="A6"/>
      <w:spacing w:val="15"/>
      <w:sz w:val="28"/>
      <w:szCs w:val="28"/>
      <w:lang w:val="es-ES"/>
    </w:rPr>
  </w:style>
  <w:style w:type="paragraph" w:styleId="Cita">
    <w:name w:val="Quote"/>
    <w:basedOn w:val="Normal"/>
    <w:next w:val="Normal"/>
    <w:link w:val="CitaCar"/>
    <w:uiPriority w:val="29"/>
    <w:qFormat/>
    <w:rsid w:val="00734001"/>
    <w:pPr>
      <w:spacing w:before="160"/>
      <w:jc w:val="center"/>
    </w:pPr>
    <w:rPr>
      <w:i/>
      <w:iCs/>
      <w:color w:val="404040" w:themeColor="text1" w:themeTint="BF"/>
    </w:rPr>
  </w:style>
  <w:style w:type="character" w:customStyle="1" w:styleId="CitaCar">
    <w:name w:val="Cita Car"/>
    <w:basedOn w:val="Fuentedeprrafopredeter"/>
    <w:link w:val="Cita"/>
    <w:uiPriority w:val="29"/>
    <w:rsid w:val="00734001"/>
    <w:rPr>
      <w:i/>
      <w:iCs/>
      <w:color w:val="404040" w:themeColor="text1" w:themeTint="BF"/>
      <w:lang w:val="es-ES"/>
    </w:rPr>
  </w:style>
  <w:style w:type="paragraph" w:styleId="Prrafodelista">
    <w:name w:val="List Paragraph"/>
    <w:basedOn w:val="Normal"/>
    <w:uiPriority w:val="34"/>
    <w:qFormat/>
    <w:rsid w:val="00734001"/>
    <w:pPr>
      <w:ind w:left="720"/>
      <w:contextualSpacing/>
    </w:pPr>
  </w:style>
  <w:style w:type="character" w:styleId="nfasisintenso">
    <w:name w:val="Intense Emphasis"/>
    <w:basedOn w:val="Fuentedeprrafopredeter"/>
    <w:uiPriority w:val="21"/>
    <w:qFormat/>
    <w:rsid w:val="00734001"/>
    <w:rPr>
      <w:i/>
      <w:iCs/>
      <w:color w:val="0F4761" w:themeColor="accent1" w:themeShade="BF"/>
    </w:rPr>
  </w:style>
  <w:style w:type="paragraph" w:styleId="Citadestacada">
    <w:name w:val="Intense Quote"/>
    <w:basedOn w:val="Normal"/>
    <w:next w:val="Normal"/>
    <w:link w:val="CitadestacadaCar"/>
    <w:uiPriority w:val="30"/>
    <w:qFormat/>
    <w:rsid w:val="007340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34001"/>
    <w:rPr>
      <w:i/>
      <w:iCs/>
      <w:color w:val="0F4761" w:themeColor="accent1" w:themeShade="BF"/>
      <w:lang w:val="es-ES"/>
    </w:rPr>
  </w:style>
  <w:style w:type="character" w:styleId="Referenciaintensa">
    <w:name w:val="Intense Reference"/>
    <w:basedOn w:val="Fuentedeprrafopredeter"/>
    <w:uiPriority w:val="32"/>
    <w:qFormat/>
    <w:rsid w:val="0073400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210</TotalTime>
  <Pages>7</Pages>
  <Words>2236</Words>
  <Characters>12299</Characters>
  <Application>Microsoft Office Word</Application>
  <DocSecurity>0</DocSecurity>
  <Lines>102</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2026-07-12T19:05:00Z</dcterms:created>
  <dcterms:modified xsi:type="dcterms:W3CDTF">2026-07-13T19:55:00Z</dcterms:modified>
</cp:coreProperties>
</file>