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A1943C2" w14:textId="54F80432" w:rsidR="00D44FB5" w:rsidRDefault="00F44877" w:rsidP="00CF3B88">
      <w:pPr>
        <w:jc w:val="both"/>
        <w:rPr>
          <w:rFonts w:ascii="Arial" w:hAnsi="Arial" w:cs="Arial"/>
          <w:b/>
          <w:u w:val="single"/>
        </w:rPr>
      </w:pPr>
      <w:r w:rsidRPr="00696DBD">
        <w:rPr>
          <w:rFonts w:ascii="Arial" w:hAnsi="Arial" w:cs="Arial"/>
          <w:b/>
          <w:u w:val="single"/>
        </w:rPr>
        <w:t>Sistemas de protección de los derechos humanos:</w:t>
      </w:r>
    </w:p>
    <w:p w14:paraId="47FE8832" w14:textId="66F29AC1" w:rsidR="00D44FB5" w:rsidRPr="00D44FB5" w:rsidRDefault="00D44FB5" w:rsidP="00CF3B88">
      <w:pPr>
        <w:jc w:val="both"/>
        <w:rPr>
          <w:rFonts w:ascii="Arial" w:hAnsi="Arial" w:cs="Arial"/>
          <w:bCs/>
        </w:rPr>
      </w:pPr>
      <w:r>
        <w:rPr>
          <w:rFonts w:ascii="Arial" w:hAnsi="Arial" w:cs="Arial"/>
          <w:bCs/>
        </w:rPr>
        <w:t xml:space="preserve">Como breve introducción diremos que existen dos grandes orbitas que coexisten para proteger los derechos de las personas. </w:t>
      </w:r>
    </w:p>
    <w:p w14:paraId="6064240C" w14:textId="77777777" w:rsidR="00F44877" w:rsidRPr="00696DBD" w:rsidRDefault="00F44877" w:rsidP="00CF3B88">
      <w:pPr>
        <w:jc w:val="both"/>
        <w:rPr>
          <w:rFonts w:ascii="Arial" w:hAnsi="Arial" w:cs="Arial"/>
          <w:b/>
          <w:u w:val="single"/>
        </w:rPr>
      </w:pPr>
      <w:r w:rsidRPr="00696DBD">
        <w:rPr>
          <w:rFonts w:ascii="Arial" w:hAnsi="Arial" w:cs="Arial"/>
          <w:b/>
          <w:u w:val="single"/>
        </w:rPr>
        <w:t>Sistema universal e interamericano:</w:t>
      </w:r>
    </w:p>
    <w:p w14:paraId="7CC7D8EA" w14:textId="77777777" w:rsidR="00F44877" w:rsidRPr="00696DBD" w:rsidRDefault="00F44877" w:rsidP="00CF3B88">
      <w:pPr>
        <w:ind w:left="-5" w:right="459"/>
        <w:jc w:val="both"/>
        <w:rPr>
          <w:rFonts w:ascii="Arial" w:hAnsi="Arial" w:cs="Arial"/>
        </w:rPr>
      </w:pPr>
      <w:r w:rsidRPr="00696DBD">
        <w:rPr>
          <w:rFonts w:ascii="Arial" w:hAnsi="Arial" w:cs="Arial"/>
          <w:b/>
          <w:u w:val="single" w:color="000000"/>
        </w:rPr>
        <w:t>SISTEMA UNIVERSAL:</w:t>
      </w:r>
      <w:r w:rsidRPr="00696DBD">
        <w:rPr>
          <w:rFonts w:ascii="Arial" w:hAnsi="Arial" w:cs="Arial"/>
          <w:b/>
        </w:rPr>
        <w:t xml:space="preserve"> </w:t>
      </w:r>
      <w:r w:rsidRPr="00696DBD">
        <w:rPr>
          <w:rFonts w:ascii="Arial" w:hAnsi="Arial" w:cs="Arial"/>
        </w:rPr>
        <w:t xml:space="preserve">Dentro del sistema universal vamos a tener a la Declaración Universal como uno de los primeros instrumentos que logró agrupar principios y estándares como el de “igualdad y no discriminación”, entre otros derechos principales. Luego nacen: el Pacto Internacional de Derechos Económicos, Sociales y Culturales y el Pacto de Derechos Civiles y Políticos. De a poco también aparecen la Convención de la Mujer, la Convención contra la tortura, la Convención del Niño, la Convención contra la Esclavitud y la Trata, etc. </w:t>
      </w:r>
    </w:p>
    <w:p w14:paraId="19D9932E" w14:textId="301D7FDE" w:rsidR="00F44877" w:rsidRPr="00696DBD" w:rsidRDefault="00F44877" w:rsidP="00CF3B88">
      <w:pPr>
        <w:ind w:left="-5" w:right="459"/>
        <w:jc w:val="both"/>
        <w:rPr>
          <w:rFonts w:ascii="Arial" w:hAnsi="Arial" w:cs="Arial"/>
        </w:rPr>
      </w:pPr>
      <w:r w:rsidRPr="00696DBD">
        <w:rPr>
          <w:rFonts w:ascii="Arial" w:hAnsi="Arial" w:cs="Arial"/>
          <w:b/>
          <w:u w:val="single" w:color="000000"/>
        </w:rPr>
        <w:t>SISTEMA INTERAMERICANO:</w:t>
      </w:r>
      <w:r w:rsidRPr="00696DBD">
        <w:rPr>
          <w:rFonts w:ascii="Arial" w:hAnsi="Arial" w:cs="Arial"/>
        </w:rPr>
        <w:t xml:space="preserve"> la regionalización obedece a la existencia de las diferentes realidades que se viven en cada parte del planeta. </w:t>
      </w:r>
      <w:r w:rsidR="00D44FB5">
        <w:rPr>
          <w:rFonts w:ascii="Arial" w:hAnsi="Arial" w:cs="Arial"/>
        </w:rPr>
        <w:t xml:space="preserve">(dentro del ámbito de la OEA). </w:t>
      </w:r>
    </w:p>
    <w:p w14:paraId="4AEFFD17" w14:textId="77777777" w:rsidR="00F44877" w:rsidRPr="00696DBD" w:rsidRDefault="00F44877" w:rsidP="00CF3B88">
      <w:pPr>
        <w:ind w:left="-5" w:right="459"/>
        <w:jc w:val="both"/>
        <w:rPr>
          <w:rFonts w:ascii="Arial" w:hAnsi="Arial" w:cs="Arial"/>
        </w:rPr>
      </w:pPr>
      <w:r w:rsidRPr="00696DBD">
        <w:rPr>
          <w:rFonts w:ascii="Arial" w:hAnsi="Arial" w:cs="Arial"/>
        </w:rPr>
        <w:t xml:space="preserve">En el caso del continente americano se encuentran otros documentos como la Convención Americana (que nace y surge poco después de la Declaración Americana), que es la fuente y da origen a la Comisión Interamericana y a la Corte Interamericana → los dos órganos de control que supervisan el efectivo cumplimiento, respeto y garantía de los derechos humanos establecidos en la Convención.  </w:t>
      </w:r>
    </w:p>
    <w:p w14:paraId="73CD29BA" w14:textId="77777777" w:rsidR="00F44877" w:rsidRPr="00696DBD" w:rsidRDefault="00F44877" w:rsidP="00CF3B88">
      <w:pPr>
        <w:spacing w:after="174"/>
        <w:ind w:left="-5" w:right="459"/>
        <w:jc w:val="both"/>
        <w:rPr>
          <w:rFonts w:ascii="Arial" w:hAnsi="Arial" w:cs="Arial"/>
        </w:rPr>
      </w:pPr>
      <w:r w:rsidRPr="00696DBD">
        <w:rPr>
          <w:rFonts w:ascii="Arial" w:hAnsi="Arial" w:cs="Arial"/>
        </w:rPr>
        <w:t xml:space="preserve">Además, dentro del sistema americano tenemos a los Protocolos Adicionales, la Convención de Belén Do Pará, la Convención sobre la Desaparición forzada de personas, la Convención sobre Personas con Discapacidad, etc.  </w:t>
      </w:r>
    </w:p>
    <w:p w14:paraId="20C6C4A0" w14:textId="77777777" w:rsidR="00F44877" w:rsidRPr="00696DBD" w:rsidRDefault="00F44877" w:rsidP="00CF3B88">
      <w:pPr>
        <w:spacing w:after="152"/>
        <w:ind w:left="-5" w:right="459"/>
        <w:jc w:val="both"/>
        <w:rPr>
          <w:rFonts w:ascii="Arial" w:hAnsi="Arial" w:cs="Arial"/>
        </w:rPr>
      </w:pPr>
      <w:r w:rsidRPr="00696DBD">
        <w:rPr>
          <w:rFonts w:ascii="Arial" w:hAnsi="Arial" w:cs="Arial"/>
        </w:rPr>
        <w:t xml:space="preserve">● </w:t>
      </w:r>
      <w:r w:rsidRPr="00696DBD">
        <w:rPr>
          <w:rFonts w:ascii="Arial" w:hAnsi="Arial" w:cs="Arial"/>
        </w:rPr>
        <w:tab/>
      </w:r>
      <w:r w:rsidRPr="00696DBD">
        <w:rPr>
          <w:rFonts w:ascii="Arial" w:hAnsi="Arial" w:cs="Arial"/>
          <w:b/>
          <w:u w:val="single" w:color="000000"/>
        </w:rPr>
        <w:t>COMISIÓN INTERAMERICANA:</w:t>
      </w:r>
      <w:r w:rsidRPr="00696DBD">
        <w:rPr>
          <w:rFonts w:ascii="Arial" w:hAnsi="Arial" w:cs="Arial"/>
          <w:u w:val="single" w:color="000000"/>
        </w:rPr>
        <w:t xml:space="preserve"> </w:t>
      </w:r>
      <w:r w:rsidRPr="00696DBD">
        <w:rPr>
          <w:rFonts w:ascii="Arial" w:hAnsi="Arial" w:cs="Arial"/>
        </w:rPr>
        <w:t xml:space="preserve">vela por la protección de los ddhh. Cualquier persona, grupo, o entidad no gubernamental reconocida puede presentar denuncias (peticiones) sobre si un Estado ha violado los ddhh de una persona o grupo. </w:t>
      </w:r>
    </w:p>
    <w:p w14:paraId="0471F1F0" w14:textId="77777777" w:rsidR="00F44877" w:rsidRPr="00696DBD" w:rsidRDefault="00F44877" w:rsidP="00CF3B88">
      <w:pPr>
        <w:spacing w:after="152"/>
        <w:ind w:left="-5" w:right="459"/>
        <w:jc w:val="both"/>
        <w:rPr>
          <w:rFonts w:ascii="Arial" w:hAnsi="Arial" w:cs="Arial"/>
        </w:rPr>
      </w:pPr>
      <w:r w:rsidRPr="00696DBD">
        <w:rPr>
          <w:rFonts w:ascii="Arial" w:hAnsi="Arial" w:cs="Arial"/>
          <w:b/>
        </w:rPr>
        <w:t>Requisitos para acceder:</w:t>
      </w:r>
      <w:r w:rsidRPr="00696DBD">
        <w:rPr>
          <w:rFonts w:ascii="Arial" w:hAnsi="Arial" w:cs="Arial"/>
        </w:rPr>
        <w:t xml:space="preserve"> agotamiento de la vía interna o tiempo razonable de no resolución (cajoneo); no debe existir litispendencia; debe ser presentado en un plazo de seis meses después de la sentencia. </w:t>
      </w:r>
    </w:p>
    <w:p w14:paraId="225B466D" w14:textId="77777777" w:rsidR="00F44877" w:rsidRPr="00696DBD" w:rsidRDefault="00F44877" w:rsidP="00CF3B88">
      <w:pPr>
        <w:spacing w:after="152"/>
        <w:ind w:left="-5" w:right="459"/>
        <w:jc w:val="both"/>
        <w:rPr>
          <w:rFonts w:ascii="Arial" w:hAnsi="Arial" w:cs="Arial"/>
        </w:rPr>
      </w:pPr>
      <w:r w:rsidRPr="00696DBD">
        <w:rPr>
          <w:rFonts w:ascii="Arial" w:hAnsi="Arial" w:cs="Arial"/>
          <w:b/>
        </w:rPr>
        <w:t xml:space="preserve">La comisión antecede la actuación de la corte: </w:t>
      </w:r>
      <w:r w:rsidRPr="00696DBD">
        <w:rPr>
          <w:rFonts w:ascii="Arial" w:hAnsi="Arial" w:cs="Arial"/>
        </w:rPr>
        <w:t xml:space="preserve">va a facilitar una solución amistosa; cerrar el procedimiento si lo cree necesario; o iniciar una demanda ante la corte. </w:t>
      </w:r>
    </w:p>
    <w:p w14:paraId="22A98CF4" w14:textId="77777777" w:rsidR="00F44877" w:rsidRPr="00696DBD" w:rsidRDefault="00F44877" w:rsidP="00CF3B88">
      <w:pPr>
        <w:ind w:left="-5" w:right="459"/>
        <w:jc w:val="both"/>
        <w:rPr>
          <w:rFonts w:ascii="Arial" w:hAnsi="Arial" w:cs="Arial"/>
        </w:rPr>
      </w:pPr>
      <w:r w:rsidRPr="00696DBD">
        <w:rPr>
          <w:rFonts w:ascii="Arial" w:hAnsi="Arial" w:cs="Arial"/>
          <w:b/>
        </w:rPr>
        <w:t>Funciones de la comisión:</w:t>
      </w:r>
      <w:r w:rsidRPr="00696DBD">
        <w:rPr>
          <w:rFonts w:ascii="Arial" w:hAnsi="Arial" w:cs="Arial"/>
        </w:rPr>
        <w:t xml:space="preserve"> promoción de la observancia y defensa de los ddhh; formular recomendaciones a los gobiernos; solicitar a los gobiernos que le proporcionen informes; asesorar a los gobiernos; actuar en relación con las peticiones y comunicaciones de acuerdo a sus facultades; rendir un informe anual a la asamblea general de la OEA. </w:t>
      </w:r>
    </w:p>
    <w:p w14:paraId="5D913FCF" w14:textId="77777777" w:rsidR="00F44877" w:rsidRPr="00696DBD" w:rsidRDefault="00F44877" w:rsidP="00CF3B88">
      <w:pPr>
        <w:spacing w:after="174"/>
        <w:ind w:left="-5" w:right="459"/>
        <w:jc w:val="both"/>
        <w:rPr>
          <w:rFonts w:ascii="Arial" w:hAnsi="Arial" w:cs="Arial"/>
        </w:rPr>
      </w:pPr>
      <w:r w:rsidRPr="00696DBD">
        <w:rPr>
          <w:rFonts w:ascii="Arial" w:hAnsi="Arial" w:cs="Arial"/>
        </w:rPr>
        <w:t xml:space="preserve">El trabajo de los relatores de la comisión es esencial ya que ayuda a pericia y cultivar el conocimiento y conciencia sobre temas de actualidad.  </w:t>
      </w:r>
    </w:p>
    <w:p w14:paraId="2849D9DE" w14:textId="77777777" w:rsidR="00F44877" w:rsidRPr="00696DBD" w:rsidRDefault="00F44877" w:rsidP="00CF3B88">
      <w:pPr>
        <w:ind w:left="-5" w:right="459"/>
        <w:jc w:val="both"/>
        <w:rPr>
          <w:rFonts w:ascii="Arial" w:hAnsi="Arial" w:cs="Arial"/>
        </w:rPr>
      </w:pPr>
      <w:r w:rsidRPr="00696DBD">
        <w:rPr>
          <w:rFonts w:ascii="Arial" w:hAnsi="Arial" w:cs="Arial"/>
        </w:rPr>
        <w:t xml:space="preserve">● </w:t>
      </w:r>
      <w:r w:rsidRPr="00696DBD">
        <w:rPr>
          <w:rFonts w:ascii="Arial" w:hAnsi="Arial" w:cs="Arial"/>
        </w:rPr>
        <w:tab/>
      </w:r>
      <w:r w:rsidRPr="00696DBD">
        <w:rPr>
          <w:rFonts w:ascii="Arial" w:hAnsi="Arial" w:cs="Arial"/>
          <w:b/>
          <w:u w:val="single" w:color="000000"/>
        </w:rPr>
        <w:t>CORTE INTERAMERICANA:</w:t>
      </w:r>
      <w:r w:rsidRPr="00696DBD">
        <w:rPr>
          <w:rFonts w:ascii="Arial" w:hAnsi="Arial" w:cs="Arial"/>
        </w:rPr>
        <w:t xml:space="preserve"> es el órgano judicial autónomo de la organización de los estados americanos (mientras que la comisión interamericana es el órgano cuasi jurisdiccional. </w:t>
      </w:r>
    </w:p>
    <w:p w14:paraId="3437E22E" w14:textId="77777777" w:rsidR="00F44877" w:rsidRPr="00696DBD" w:rsidRDefault="00F44877" w:rsidP="00CF3B88">
      <w:pPr>
        <w:ind w:left="-5" w:right="459"/>
        <w:jc w:val="both"/>
        <w:rPr>
          <w:rFonts w:ascii="Arial" w:hAnsi="Arial" w:cs="Arial"/>
        </w:rPr>
      </w:pPr>
      <w:r w:rsidRPr="00696DBD">
        <w:rPr>
          <w:rFonts w:ascii="Arial" w:hAnsi="Arial" w:cs="Arial"/>
        </w:rPr>
        <w:t xml:space="preserve">Ambos conforman el sistema interamericano de protección de los DDHH). </w:t>
      </w:r>
    </w:p>
    <w:p w14:paraId="5EECD1F4" w14:textId="77777777" w:rsidR="00F44877" w:rsidRPr="00696DBD" w:rsidRDefault="00F44877" w:rsidP="00CF3B88">
      <w:pPr>
        <w:spacing w:after="152"/>
        <w:ind w:left="-5" w:right="459"/>
        <w:jc w:val="both"/>
        <w:rPr>
          <w:rFonts w:ascii="Arial" w:hAnsi="Arial" w:cs="Arial"/>
        </w:rPr>
      </w:pPr>
      <w:r w:rsidRPr="00696DBD">
        <w:rPr>
          <w:rFonts w:ascii="Arial" w:hAnsi="Arial" w:cs="Arial"/>
        </w:rPr>
        <w:lastRenderedPageBreak/>
        <w:t xml:space="preserve">Como institución judicial autónoma, su objetivo es la aplicación e interpretación de la convención americana de DDHH (pacto de san </w:t>
      </w:r>
      <w:proofErr w:type="spellStart"/>
      <w:r w:rsidRPr="00696DBD">
        <w:rPr>
          <w:rFonts w:ascii="Arial" w:hAnsi="Arial" w:cs="Arial"/>
        </w:rPr>
        <w:t>josé</w:t>
      </w:r>
      <w:proofErr w:type="spellEnd"/>
      <w:r w:rsidRPr="00696DBD">
        <w:rPr>
          <w:rFonts w:ascii="Arial" w:hAnsi="Arial" w:cs="Arial"/>
        </w:rPr>
        <w:t xml:space="preserve">) así como otros tratados internacionales.  </w:t>
      </w:r>
    </w:p>
    <w:p w14:paraId="3E3F7647" w14:textId="77777777" w:rsidR="00F44877" w:rsidRPr="00696DBD" w:rsidRDefault="00F44877" w:rsidP="00CF3B88">
      <w:pPr>
        <w:spacing w:after="152"/>
        <w:ind w:left="-5" w:right="459"/>
        <w:jc w:val="both"/>
        <w:rPr>
          <w:rFonts w:ascii="Arial" w:hAnsi="Arial" w:cs="Arial"/>
        </w:rPr>
      </w:pPr>
      <w:r w:rsidRPr="00696DBD">
        <w:rPr>
          <w:rFonts w:ascii="Arial" w:hAnsi="Arial" w:cs="Arial"/>
          <w:b/>
          <w:u w:val="single"/>
        </w:rPr>
        <w:t>Competencia</w:t>
      </w:r>
      <w:r w:rsidRPr="00696DBD">
        <w:rPr>
          <w:rFonts w:ascii="Arial" w:hAnsi="Arial" w:cs="Arial"/>
          <w:b/>
        </w:rPr>
        <w:t>:</w:t>
      </w:r>
      <w:r w:rsidRPr="00696DBD">
        <w:rPr>
          <w:rFonts w:ascii="Arial" w:hAnsi="Arial" w:cs="Arial"/>
        </w:rPr>
        <w:t xml:space="preserve"> para conocer en cualquier caso relativo a la interpretación y aplicaciones de la convención, siempre que los estados la hayan reconocido. Competencia sobre las violaciones a los derechos humanos por parte de los estados. </w:t>
      </w:r>
    </w:p>
    <w:p w14:paraId="23A94634" w14:textId="77777777" w:rsidR="00F44877" w:rsidRPr="00696DBD" w:rsidRDefault="00F44877" w:rsidP="00CF3B88">
      <w:pPr>
        <w:spacing w:after="173" w:line="250" w:lineRule="auto"/>
        <w:ind w:left="-5" w:right="285"/>
        <w:jc w:val="both"/>
        <w:rPr>
          <w:rFonts w:ascii="Arial" w:hAnsi="Arial" w:cs="Arial"/>
        </w:rPr>
      </w:pPr>
      <w:r w:rsidRPr="00696DBD">
        <w:rPr>
          <w:rFonts w:ascii="Arial" w:hAnsi="Arial" w:cs="Arial"/>
          <w:b/>
          <w:u w:val="single"/>
        </w:rPr>
        <w:t>Funciones</w:t>
      </w:r>
      <w:r w:rsidRPr="00696DBD">
        <w:rPr>
          <w:rFonts w:ascii="Arial" w:hAnsi="Arial" w:cs="Arial"/>
          <w:b/>
        </w:rPr>
        <w:t xml:space="preserve">: </w:t>
      </w:r>
    </w:p>
    <w:p w14:paraId="2FF70C83" w14:textId="77777777" w:rsidR="00F44877" w:rsidRPr="00696DBD" w:rsidRDefault="00F44877" w:rsidP="00CF3B88">
      <w:pPr>
        <w:numPr>
          <w:ilvl w:val="0"/>
          <w:numId w:val="1"/>
        </w:numPr>
        <w:spacing w:after="3" w:line="248" w:lineRule="auto"/>
        <w:ind w:right="459" w:hanging="10"/>
        <w:jc w:val="both"/>
        <w:rPr>
          <w:rFonts w:ascii="Arial" w:hAnsi="Arial" w:cs="Arial"/>
        </w:rPr>
      </w:pPr>
      <w:r w:rsidRPr="00696DBD">
        <w:rPr>
          <w:rFonts w:ascii="Arial" w:hAnsi="Arial" w:cs="Arial"/>
          <w:b/>
        </w:rPr>
        <w:t>Función contenciosa:</w:t>
      </w:r>
      <w:r w:rsidRPr="00696DBD">
        <w:rPr>
          <w:rFonts w:ascii="Arial" w:hAnsi="Arial" w:cs="Arial"/>
        </w:rPr>
        <w:t xml:space="preserve"> es la que le permite resolver casos y supervisar sentencias. En esta función, la Corte determina si un Estado ha violado los derechos humanos consagrados en la Convención Americana o en otros tratados de derechos humanos. Dicta sentencias sobre denuncias presentadas sobre los estados cuando tales casos no han sido resueltos por la comisión. En situaciones de gravedad y urgencia, ambos órganos pueden solicitar al estado que tome medidas (medidas cautelares o provisionales). </w:t>
      </w:r>
    </w:p>
    <w:p w14:paraId="33A7CC57" w14:textId="77777777" w:rsidR="00F44877" w:rsidRPr="00696DBD" w:rsidRDefault="00F44877" w:rsidP="00CF3B88">
      <w:pPr>
        <w:numPr>
          <w:ilvl w:val="0"/>
          <w:numId w:val="1"/>
        </w:numPr>
        <w:spacing w:after="3" w:line="248" w:lineRule="auto"/>
        <w:ind w:right="459" w:hanging="10"/>
        <w:jc w:val="both"/>
        <w:rPr>
          <w:rFonts w:ascii="Arial" w:hAnsi="Arial" w:cs="Arial"/>
        </w:rPr>
      </w:pPr>
      <w:r w:rsidRPr="00696DBD">
        <w:rPr>
          <w:rFonts w:ascii="Arial" w:hAnsi="Arial" w:cs="Arial"/>
          <w:b/>
        </w:rPr>
        <w:t>Función consultiva:</w:t>
      </w:r>
      <w:r w:rsidRPr="00696DBD">
        <w:rPr>
          <w:rFonts w:ascii="Arial" w:hAnsi="Arial" w:cs="Arial"/>
        </w:rPr>
        <w:t xml:space="preserve"> es la de emitir </w:t>
      </w:r>
      <w:r w:rsidRPr="00696DBD">
        <w:rPr>
          <w:rFonts w:ascii="Arial" w:hAnsi="Arial" w:cs="Arial"/>
          <w:b/>
        </w:rPr>
        <w:t>opiniones consultivas</w:t>
      </w:r>
      <w:r w:rsidRPr="00696DBD">
        <w:rPr>
          <w:rFonts w:ascii="Arial" w:hAnsi="Arial" w:cs="Arial"/>
        </w:rPr>
        <w:t xml:space="preserve"> sobre la interpretación y alcance de las normas internacionales de derechos humanos.</w:t>
      </w:r>
      <w:r w:rsidRPr="00696DBD">
        <w:rPr>
          <w:rFonts w:ascii="Arial" w:hAnsi="Arial" w:cs="Arial"/>
          <w:color w:val="EEF0FF"/>
        </w:rPr>
        <w:t xml:space="preserve"> </w:t>
      </w:r>
      <w:r w:rsidRPr="00696DBD">
        <w:rPr>
          <w:rFonts w:ascii="Arial" w:hAnsi="Arial" w:cs="Arial"/>
        </w:rPr>
        <w:t xml:space="preserve">Aunque no tienen carácter obligatorio, su valor jurídico es reconocido y respetado. (fuente jurisprudencial). </w:t>
      </w:r>
    </w:p>
    <w:p w14:paraId="4756FBC6" w14:textId="77777777" w:rsidR="00F44877" w:rsidRPr="00696DBD" w:rsidRDefault="00F44877" w:rsidP="00CF3B88">
      <w:pPr>
        <w:spacing w:after="152"/>
        <w:ind w:left="-5" w:right="459"/>
        <w:jc w:val="both"/>
        <w:rPr>
          <w:rFonts w:ascii="Arial" w:hAnsi="Arial" w:cs="Arial"/>
        </w:rPr>
      </w:pPr>
      <w:r w:rsidRPr="00696DBD">
        <w:rPr>
          <w:rFonts w:ascii="Arial" w:hAnsi="Arial" w:cs="Arial"/>
        </w:rPr>
        <w:t>Durante las sesiones celebra audiencias, deliberación de sentencias, resoluciones, supervisión de cumplimiento de sus sentencias y las medidas provisionales.</w:t>
      </w:r>
      <w:r w:rsidRPr="00696DBD">
        <w:rPr>
          <w:rFonts w:ascii="Arial" w:hAnsi="Arial" w:cs="Arial"/>
          <w:b/>
        </w:rPr>
        <w:t xml:space="preserve"> </w:t>
      </w:r>
    </w:p>
    <w:p w14:paraId="6F05B06C" w14:textId="77777777" w:rsidR="00F44877" w:rsidRPr="00696DBD" w:rsidRDefault="00F44877" w:rsidP="00CF3B88">
      <w:pPr>
        <w:spacing w:after="152"/>
        <w:ind w:left="-5" w:right="459"/>
        <w:jc w:val="both"/>
        <w:rPr>
          <w:rFonts w:ascii="Arial" w:hAnsi="Arial" w:cs="Arial"/>
        </w:rPr>
      </w:pPr>
      <w:r w:rsidRPr="007B3A6F">
        <w:rPr>
          <w:rFonts w:ascii="Arial" w:hAnsi="Arial" w:cs="Arial"/>
          <w:b/>
          <w:u w:val="single"/>
        </w:rPr>
        <w:t>COMITÉS</w:t>
      </w:r>
      <w:r w:rsidRPr="00696DBD">
        <w:rPr>
          <w:rFonts w:ascii="Arial" w:hAnsi="Arial" w:cs="Arial"/>
          <w:b/>
        </w:rPr>
        <w:t xml:space="preserve">: </w:t>
      </w:r>
      <w:r w:rsidRPr="00696DBD">
        <w:rPr>
          <w:rFonts w:ascii="Arial" w:hAnsi="Arial" w:cs="Arial"/>
        </w:rPr>
        <w:t xml:space="preserve">Los órganos creados en virtud de tratados de derechos humanos son comités de expertos independientes, que han recibido el mandato de supervisar la aplicación de los principales instrumentos internacionales de derechos humanos. </w:t>
      </w:r>
    </w:p>
    <w:p w14:paraId="484E02BD" w14:textId="77777777" w:rsidR="00F44877" w:rsidRPr="00696DBD" w:rsidRDefault="00F44877" w:rsidP="00CF3B88">
      <w:pPr>
        <w:spacing w:after="152"/>
        <w:ind w:left="-5" w:right="459"/>
        <w:jc w:val="both"/>
        <w:rPr>
          <w:rFonts w:ascii="Arial" w:hAnsi="Arial" w:cs="Arial"/>
        </w:rPr>
      </w:pPr>
      <w:r w:rsidRPr="00696DBD">
        <w:rPr>
          <w:rFonts w:ascii="Arial" w:hAnsi="Arial" w:cs="Arial"/>
        </w:rPr>
        <w:t xml:space="preserve">Los comités desempeñan sus funciones según lo dispuesto en cada tratado, siendo una de sus principales el examen de los informes presentados por los Estados Parte, así como la información procedente de otras fuentes, y la formulación de observaciones finales. Asimismo, pueden examinar denuncias individuales y publicar observaciones generales donde se da a conocer la interpretación sobre las disposiciones de los instrumentos internacionales. </w:t>
      </w:r>
    </w:p>
    <w:p w14:paraId="73CBEEE3" w14:textId="77777777" w:rsidR="00F44877" w:rsidRPr="00696DBD" w:rsidRDefault="00F44877" w:rsidP="00CF3B88">
      <w:pPr>
        <w:spacing w:after="171"/>
        <w:ind w:left="-5" w:right="459"/>
        <w:jc w:val="both"/>
        <w:rPr>
          <w:rFonts w:ascii="Arial" w:hAnsi="Arial" w:cs="Arial"/>
        </w:rPr>
      </w:pPr>
      <w:r w:rsidRPr="00696DBD">
        <w:rPr>
          <w:rFonts w:ascii="Arial" w:hAnsi="Arial" w:cs="Arial"/>
        </w:rPr>
        <w:t xml:space="preserve">Las </w:t>
      </w:r>
      <w:r w:rsidRPr="007B3A6F">
        <w:rPr>
          <w:rFonts w:ascii="Arial" w:hAnsi="Arial" w:cs="Arial"/>
          <w:b/>
        </w:rPr>
        <w:t>funciones</w:t>
      </w:r>
      <w:r w:rsidRPr="00696DBD">
        <w:rPr>
          <w:rFonts w:ascii="Arial" w:hAnsi="Arial" w:cs="Arial"/>
        </w:rPr>
        <w:t xml:space="preserve"> de los comités de derechos humanos incluyen: </w:t>
      </w:r>
    </w:p>
    <w:p w14:paraId="71987FAF" w14:textId="77777777" w:rsidR="00F44877" w:rsidRPr="00696DBD" w:rsidRDefault="00F44877" w:rsidP="00CF3B88">
      <w:pPr>
        <w:numPr>
          <w:ilvl w:val="0"/>
          <w:numId w:val="2"/>
        </w:numPr>
        <w:spacing w:after="178" w:line="248" w:lineRule="auto"/>
        <w:ind w:right="459" w:hanging="720"/>
        <w:jc w:val="both"/>
        <w:rPr>
          <w:rFonts w:ascii="Arial" w:hAnsi="Arial" w:cs="Arial"/>
        </w:rPr>
      </w:pPr>
      <w:r w:rsidRPr="00696DBD">
        <w:rPr>
          <w:rFonts w:ascii="Arial" w:hAnsi="Arial" w:cs="Arial"/>
        </w:rPr>
        <w:t xml:space="preserve">Supervisar la aplicación de los tratados por los Estados Partes  </w:t>
      </w:r>
    </w:p>
    <w:p w14:paraId="02675B22" w14:textId="77777777" w:rsidR="00F44877" w:rsidRPr="00696DBD" w:rsidRDefault="00F44877" w:rsidP="00CF3B88">
      <w:pPr>
        <w:numPr>
          <w:ilvl w:val="0"/>
          <w:numId w:val="2"/>
        </w:numPr>
        <w:spacing w:after="178" w:line="248" w:lineRule="auto"/>
        <w:ind w:right="459" w:hanging="720"/>
        <w:jc w:val="both"/>
        <w:rPr>
          <w:rFonts w:ascii="Arial" w:hAnsi="Arial" w:cs="Arial"/>
        </w:rPr>
      </w:pPr>
      <w:r w:rsidRPr="00696DBD">
        <w:rPr>
          <w:rFonts w:ascii="Arial" w:hAnsi="Arial" w:cs="Arial"/>
        </w:rPr>
        <w:t xml:space="preserve">Desarrollar un diálogo con los Estados Partes  </w:t>
      </w:r>
    </w:p>
    <w:p w14:paraId="521FD2E2" w14:textId="77777777" w:rsidR="00F44877" w:rsidRPr="00696DBD" w:rsidRDefault="00F44877" w:rsidP="00CF3B88">
      <w:pPr>
        <w:numPr>
          <w:ilvl w:val="0"/>
          <w:numId w:val="2"/>
        </w:numPr>
        <w:spacing w:after="178" w:line="248" w:lineRule="auto"/>
        <w:ind w:right="459" w:hanging="720"/>
        <w:jc w:val="both"/>
        <w:rPr>
          <w:rFonts w:ascii="Arial" w:hAnsi="Arial" w:cs="Arial"/>
        </w:rPr>
      </w:pPr>
      <w:r w:rsidRPr="00696DBD">
        <w:rPr>
          <w:rFonts w:ascii="Arial" w:hAnsi="Arial" w:cs="Arial"/>
        </w:rPr>
        <w:t xml:space="preserve">Evaluar cómo se puede mejorar la aplicación de los tratados  </w:t>
      </w:r>
    </w:p>
    <w:p w14:paraId="29EA1666" w14:textId="77777777" w:rsidR="00F44877" w:rsidRPr="00696DBD" w:rsidRDefault="00F44877" w:rsidP="00CF3B88">
      <w:pPr>
        <w:numPr>
          <w:ilvl w:val="0"/>
          <w:numId w:val="2"/>
        </w:numPr>
        <w:spacing w:after="173" w:line="248" w:lineRule="auto"/>
        <w:ind w:right="459" w:hanging="720"/>
        <w:jc w:val="both"/>
        <w:rPr>
          <w:rFonts w:ascii="Arial" w:hAnsi="Arial" w:cs="Arial"/>
        </w:rPr>
      </w:pPr>
      <w:r w:rsidRPr="00696DBD">
        <w:rPr>
          <w:rFonts w:ascii="Arial" w:hAnsi="Arial" w:cs="Arial"/>
        </w:rPr>
        <w:t xml:space="preserve">Redactar observaciones finales que detallan los aspectos positivos y negativos de la aplicación del tratado </w:t>
      </w:r>
    </w:p>
    <w:p w14:paraId="146A1FEC" w14:textId="77777777" w:rsidR="00F44877" w:rsidRPr="00696DBD" w:rsidRDefault="00F44877" w:rsidP="00CF3B88">
      <w:pPr>
        <w:jc w:val="both"/>
        <w:rPr>
          <w:rFonts w:ascii="Arial" w:hAnsi="Arial" w:cs="Arial"/>
          <w:b/>
          <w:u w:val="single"/>
        </w:rPr>
      </w:pPr>
    </w:p>
    <w:p w14:paraId="4657648B" w14:textId="77777777" w:rsidR="00893F0C" w:rsidRPr="00696DBD" w:rsidRDefault="00893F0C" w:rsidP="00CF3B88">
      <w:pPr>
        <w:jc w:val="both"/>
        <w:rPr>
          <w:rFonts w:ascii="Arial" w:hAnsi="Arial" w:cs="Arial"/>
          <w:b/>
          <w:u w:val="single"/>
        </w:rPr>
      </w:pPr>
    </w:p>
    <w:p w14:paraId="21B91119" w14:textId="77777777" w:rsidR="00893F0C" w:rsidRPr="00696DBD" w:rsidRDefault="00893F0C" w:rsidP="00CF3B88">
      <w:pPr>
        <w:jc w:val="both"/>
        <w:rPr>
          <w:rFonts w:ascii="Arial" w:hAnsi="Arial" w:cs="Arial"/>
          <w:b/>
          <w:u w:val="single"/>
        </w:rPr>
      </w:pPr>
    </w:p>
    <w:p w14:paraId="53D1B570" w14:textId="77777777" w:rsidR="00893F0C" w:rsidRPr="00696DBD" w:rsidRDefault="00893F0C" w:rsidP="00CF3B88">
      <w:pPr>
        <w:jc w:val="both"/>
        <w:rPr>
          <w:rFonts w:ascii="Arial" w:hAnsi="Arial" w:cs="Arial"/>
          <w:b/>
          <w:u w:val="single"/>
        </w:rPr>
      </w:pPr>
    </w:p>
    <w:p w14:paraId="2F2A5CDC" w14:textId="77777777" w:rsidR="00893F0C" w:rsidRPr="00696DBD" w:rsidRDefault="00893F0C" w:rsidP="00CF3B88">
      <w:pPr>
        <w:jc w:val="both"/>
        <w:rPr>
          <w:rFonts w:ascii="Arial" w:hAnsi="Arial" w:cs="Arial"/>
          <w:b/>
          <w:u w:val="single"/>
        </w:rPr>
      </w:pPr>
    </w:p>
    <w:p w14:paraId="07392F3B" w14:textId="77777777" w:rsidR="00893F0C" w:rsidRPr="00696DBD" w:rsidRDefault="00893F0C" w:rsidP="00CF3B88">
      <w:pPr>
        <w:jc w:val="both"/>
        <w:rPr>
          <w:rFonts w:ascii="Arial" w:hAnsi="Arial" w:cs="Arial"/>
          <w:b/>
          <w:u w:val="single"/>
        </w:rPr>
      </w:pPr>
    </w:p>
    <w:p w14:paraId="37D58C9A" w14:textId="77777777" w:rsidR="00893F0C" w:rsidRPr="00696DBD" w:rsidRDefault="00893F0C" w:rsidP="00CF3B88">
      <w:pPr>
        <w:jc w:val="both"/>
        <w:rPr>
          <w:rFonts w:ascii="Arial" w:hAnsi="Arial" w:cs="Arial"/>
          <w:b/>
          <w:u w:val="single"/>
        </w:rPr>
      </w:pPr>
      <w:r w:rsidRPr="00696DBD">
        <w:rPr>
          <w:rFonts w:ascii="Arial" w:hAnsi="Arial" w:cs="Arial"/>
          <w:b/>
          <w:u w:val="single"/>
        </w:rPr>
        <w:lastRenderedPageBreak/>
        <w:t>Fuentes de los derechos humanos. Normativas y jurisprudenciales.</w:t>
      </w:r>
    </w:p>
    <w:p w14:paraId="167FC332" w14:textId="77777777" w:rsidR="00893F0C" w:rsidRPr="00696DBD" w:rsidRDefault="00893F0C" w:rsidP="00CF3B88">
      <w:pPr>
        <w:jc w:val="both"/>
        <w:rPr>
          <w:rFonts w:ascii="Arial" w:hAnsi="Arial" w:cs="Arial"/>
        </w:rPr>
      </w:pPr>
      <w:r w:rsidRPr="00696DBD">
        <w:rPr>
          <w:rFonts w:ascii="Arial" w:hAnsi="Arial" w:cs="Arial"/>
        </w:rPr>
        <w:t xml:space="preserve">En el sistema de derechos humanos existen dos niveles de fuentes. Además de las internacionales, están las fuentes nacionales, como las constituciones nacionales y provinciales, la jurisprudencia, entre otros. En el momento de interpretar las fuentes para luego tomar decisiones y/o resolver conflictos, deben prevalecer aquellas que brinden una mayor protección a la persona y sus derechos. Independientemente del nivel y jerarquía de cada fuente. </w:t>
      </w:r>
    </w:p>
    <w:p w14:paraId="3E700113" w14:textId="77777777" w:rsidR="00893F0C" w:rsidRPr="00696DBD" w:rsidRDefault="00893F0C" w:rsidP="00CF3B88">
      <w:pPr>
        <w:jc w:val="both"/>
        <w:rPr>
          <w:rFonts w:ascii="Arial" w:hAnsi="Arial" w:cs="Arial"/>
        </w:rPr>
      </w:pPr>
      <w:r w:rsidRPr="00696DBD">
        <w:rPr>
          <w:rFonts w:ascii="Arial" w:hAnsi="Arial" w:cs="Arial"/>
          <w:b/>
        </w:rPr>
        <w:t xml:space="preserve">Normativa → </w:t>
      </w:r>
      <w:r w:rsidRPr="00696DBD">
        <w:rPr>
          <w:rFonts w:ascii="Arial" w:hAnsi="Arial" w:cs="Arial"/>
        </w:rPr>
        <w:t>Son convenciones, tratados, pactos, declaraciones, protocolos facultativos, del sistema de la ONU (organización de las naciones unidas) y de sistemas regionales (interamericano) de carácter general o de protección especifica (ej. para niños, etc.)</w:t>
      </w:r>
    </w:p>
    <w:p w14:paraId="69E5FA4F" w14:textId="77777777" w:rsidR="00A06F95" w:rsidRPr="00696DBD" w:rsidRDefault="00893F0C" w:rsidP="00CF3B88">
      <w:pPr>
        <w:jc w:val="both"/>
        <w:rPr>
          <w:rFonts w:ascii="Arial" w:hAnsi="Arial" w:cs="Arial"/>
        </w:rPr>
      </w:pPr>
      <w:r w:rsidRPr="00696DBD">
        <w:rPr>
          <w:rFonts w:ascii="Arial" w:hAnsi="Arial" w:cs="Arial"/>
          <w:b/>
        </w:rPr>
        <w:t>Costumbre</w:t>
      </w:r>
      <w:r w:rsidRPr="00696DBD">
        <w:rPr>
          <w:rFonts w:ascii="Arial" w:hAnsi="Arial" w:cs="Arial"/>
        </w:rPr>
        <w:t xml:space="preserve">: Es la fuente más antigua, consistente en </w:t>
      </w:r>
      <w:r w:rsidR="00A06F95" w:rsidRPr="00696DBD">
        <w:rPr>
          <w:rFonts w:ascii="Arial" w:hAnsi="Arial" w:cs="Arial"/>
        </w:rPr>
        <w:t>prácticas</w:t>
      </w:r>
      <w:r w:rsidRPr="00696DBD">
        <w:rPr>
          <w:rFonts w:ascii="Arial" w:hAnsi="Arial" w:cs="Arial"/>
        </w:rPr>
        <w:t xml:space="preserve"> reiteradas desde hace mucho tiempo y respetadas con la convicción de que son jurídicamente obligatorias. El derecho internacional </w:t>
      </w:r>
      <w:r w:rsidR="00A06F95" w:rsidRPr="00696DBD">
        <w:rPr>
          <w:rFonts w:ascii="Arial" w:hAnsi="Arial" w:cs="Arial"/>
        </w:rPr>
        <w:t>consuet</w:t>
      </w:r>
      <w:r w:rsidRPr="00696DBD">
        <w:rPr>
          <w:rFonts w:ascii="Arial" w:hAnsi="Arial" w:cs="Arial"/>
        </w:rPr>
        <w:t xml:space="preserve">udinario </w:t>
      </w:r>
      <w:r w:rsidR="00A06F95" w:rsidRPr="00696DBD">
        <w:rPr>
          <w:rFonts w:ascii="Arial" w:hAnsi="Arial" w:cs="Arial"/>
        </w:rPr>
        <w:t>es la base más común de las normas imperativas e inderogables (ius cogens).</w:t>
      </w:r>
    </w:p>
    <w:p w14:paraId="36C0A2AF" w14:textId="77777777" w:rsidR="00A06F95" w:rsidRPr="00696DBD" w:rsidRDefault="00A06F95" w:rsidP="00CF3B88">
      <w:pPr>
        <w:jc w:val="both"/>
        <w:rPr>
          <w:rFonts w:ascii="Arial" w:hAnsi="Arial" w:cs="Arial"/>
        </w:rPr>
      </w:pPr>
      <w:r w:rsidRPr="00696DBD">
        <w:rPr>
          <w:rFonts w:ascii="Arial" w:hAnsi="Arial" w:cs="Arial"/>
          <w:b/>
        </w:rPr>
        <w:t xml:space="preserve">Principios generales del derecho: </w:t>
      </w:r>
      <w:r w:rsidRPr="00696DBD">
        <w:rPr>
          <w:rFonts w:ascii="Arial" w:hAnsi="Arial" w:cs="Arial"/>
        </w:rPr>
        <w:t>Son de carácter subsidiario, se aplican cuando otras fuentes no aportan suficiente claridad para resolver casos o adoptar decisiones porque existe una “laguna” del derecho. Ej. principio de buena fe, de proporcionalidad, no agresión, etc.</w:t>
      </w:r>
    </w:p>
    <w:p w14:paraId="172DE254" w14:textId="77777777" w:rsidR="00A06F95" w:rsidRPr="00696DBD" w:rsidRDefault="00A06F95" w:rsidP="00CF3B88">
      <w:pPr>
        <w:jc w:val="both"/>
        <w:rPr>
          <w:rFonts w:ascii="Arial" w:hAnsi="Arial" w:cs="Arial"/>
        </w:rPr>
      </w:pPr>
      <w:r w:rsidRPr="00696DBD">
        <w:rPr>
          <w:rFonts w:ascii="Arial" w:hAnsi="Arial" w:cs="Arial"/>
          <w:b/>
        </w:rPr>
        <w:t>Doctrina</w:t>
      </w:r>
      <w:r w:rsidRPr="00696DBD">
        <w:rPr>
          <w:rFonts w:ascii="Arial" w:hAnsi="Arial" w:cs="Arial"/>
        </w:rPr>
        <w:t>: Son aportes que contribuyen a un mejor entendimiento de casos o situaciones. Consisten en producciones jurídicas/académicas escritas por personas expertas en la materia.</w:t>
      </w:r>
    </w:p>
    <w:p w14:paraId="56506052" w14:textId="77777777" w:rsidR="00A06F95" w:rsidRPr="00696DBD" w:rsidRDefault="00A06F95" w:rsidP="00CF3B88">
      <w:pPr>
        <w:jc w:val="both"/>
        <w:rPr>
          <w:rFonts w:ascii="Arial" w:hAnsi="Arial" w:cs="Arial"/>
        </w:rPr>
      </w:pPr>
      <w:r w:rsidRPr="00696DBD">
        <w:rPr>
          <w:rFonts w:ascii="Arial" w:hAnsi="Arial" w:cs="Arial"/>
          <w:b/>
        </w:rPr>
        <w:t>Decisiones de órganos que han resuelto casos</w:t>
      </w:r>
      <w:r w:rsidRPr="00696DBD">
        <w:rPr>
          <w:rFonts w:ascii="Arial" w:hAnsi="Arial" w:cs="Arial"/>
        </w:rPr>
        <w:t>: Son útiles para conocer que se ha decidido antes en casos similares de violaciones de derechos. Son parte de tribunales internacionales u órganos no jurisdiccionales (los comités de la ONU, las comisiones interamericanas de derechos humanos, entre otros)</w:t>
      </w:r>
      <w:r w:rsidR="00696DBD" w:rsidRPr="00696DBD">
        <w:rPr>
          <w:rFonts w:ascii="Arial" w:hAnsi="Arial" w:cs="Arial"/>
        </w:rPr>
        <w:t>.</w:t>
      </w:r>
    </w:p>
    <w:p w14:paraId="648BFF48" w14:textId="77777777" w:rsidR="00696DBD" w:rsidRPr="00696DBD" w:rsidRDefault="00696DBD" w:rsidP="00CF3B88">
      <w:pPr>
        <w:jc w:val="both"/>
        <w:rPr>
          <w:rFonts w:ascii="Arial" w:hAnsi="Arial" w:cs="Arial"/>
        </w:rPr>
      </w:pPr>
    </w:p>
    <w:p w14:paraId="69CD50A9" w14:textId="77777777" w:rsidR="00696DBD" w:rsidRPr="00696DBD" w:rsidRDefault="00696DBD" w:rsidP="00CF3B88">
      <w:pPr>
        <w:jc w:val="both"/>
        <w:rPr>
          <w:rFonts w:ascii="Arial" w:hAnsi="Arial" w:cs="Arial"/>
          <w:b/>
          <w:u w:val="single"/>
        </w:rPr>
      </w:pPr>
      <w:r w:rsidRPr="00696DBD">
        <w:rPr>
          <w:rFonts w:ascii="Arial" w:hAnsi="Arial" w:cs="Arial"/>
          <w:b/>
          <w:u w:val="single"/>
        </w:rPr>
        <w:t xml:space="preserve">Control de convencionalidad: </w:t>
      </w:r>
    </w:p>
    <w:p w14:paraId="049C45A1" w14:textId="77777777" w:rsidR="00696DBD" w:rsidRPr="00696DBD" w:rsidRDefault="00696DBD" w:rsidP="00CF3B88">
      <w:pPr>
        <w:spacing w:after="152"/>
        <w:ind w:left="-5" w:right="459"/>
        <w:jc w:val="both"/>
        <w:rPr>
          <w:rFonts w:ascii="Arial" w:hAnsi="Arial" w:cs="Arial"/>
        </w:rPr>
      </w:pPr>
      <w:r w:rsidRPr="00696DBD">
        <w:rPr>
          <w:rFonts w:ascii="Arial" w:hAnsi="Arial" w:cs="Arial"/>
        </w:rPr>
        <w:t xml:space="preserve">El control de convencionalidad es la obligación que tienen los Estados de interpretar y aplicar su derecho interno de acuerdo con los estándares de derechos humanos establecidos en tratados internacionales. Es la herramienta que permite verificar si las normas y prácticas nacionales son compatibles con la Convención Americana de Derechos Humanos y otros tratados de derechos humanos.  </w:t>
      </w:r>
    </w:p>
    <w:p w14:paraId="7A27E9FB" w14:textId="77777777" w:rsidR="00696DBD" w:rsidRPr="00696DBD" w:rsidRDefault="00696DBD" w:rsidP="00CF3B88">
      <w:pPr>
        <w:spacing w:after="150"/>
        <w:ind w:left="-5" w:right="459"/>
        <w:jc w:val="both"/>
        <w:rPr>
          <w:rFonts w:ascii="Arial" w:hAnsi="Arial" w:cs="Arial"/>
        </w:rPr>
      </w:pPr>
      <w:r w:rsidRPr="00696DBD">
        <w:rPr>
          <w:rFonts w:ascii="Arial" w:hAnsi="Arial" w:cs="Arial"/>
        </w:rPr>
        <w:t xml:space="preserve">El control de convencionalidad implica: </w:t>
      </w:r>
    </w:p>
    <w:p w14:paraId="684840BC" w14:textId="77777777" w:rsidR="00696DBD" w:rsidRPr="00696DBD" w:rsidRDefault="00696DBD" w:rsidP="00CF3B88">
      <w:pPr>
        <w:spacing w:after="152"/>
        <w:ind w:left="580" w:right="459"/>
        <w:jc w:val="both"/>
        <w:rPr>
          <w:rFonts w:ascii="Arial" w:hAnsi="Arial" w:cs="Arial"/>
        </w:rPr>
      </w:pPr>
      <w:r w:rsidRPr="00696DBD">
        <w:rPr>
          <w:rFonts w:ascii="Arial" w:hAnsi="Arial" w:cs="Arial"/>
          <w:u w:val="single" w:color="000000"/>
        </w:rPr>
        <w:t>Interpretación conforme a los tratados:</w:t>
      </w:r>
      <w:r w:rsidRPr="00696DBD">
        <w:rPr>
          <w:rFonts w:ascii="Arial" w:hAnsi="Arial" w:cs="Arial"/>
        </w:rPr>
        <w:t xml:space="preserve"> Los jueces y autoridades estatales deben interpretar las normas nacionales de acuerdo con la Convención Americana, buscando el significado que mejor garantice los derechos humanos.  </w:t>
      </w:r>
    </w:p>
    <w:p w14:paraId="36E8648F" w14:textId="77777777" w:rsidR="00696DBD" w:rsidRPr="00696DBD" w:rsidRDefault="00696DBD" w:rsidP="00CF3B88">
      <w:pPr>
        <w:spacing w:after="152"/>
        <w:ind w:left="580" w:right="459"/>
        <w:jc w:val="both"/>
        <w:rPr>
          <w:rFonts w:ascii="Arial" w:hAnsi="Arial" w:cs="Arial"/>
        </w:rPr>
      </w:pPr>
      <w:r w:rsidRPr="00696DBD">
        <w:rPr>
          <w:rFonts w:ascii="Arial" w:hAnsi="Arial" w:cs="Arial"/>
          <w:u w:val="single" w:color="000000"/>
        </w:rPr>
        <w:t xml:space="preserve">Aplicación de los estándares internacionales: </w:t>
      </w:r>
      <w:r w:rsidRPr="00696DBD">
        <w:rPr>
          <w:rFonts w:ascii="Arial" w:hAnsi="Arial" w:cs="Arial"/>
        </w:rPr>
        <w:t xml:space="preserve">En caso de conflicto entre una norma nacional y un tratado internacional, la autoridad debe aplicar el estándar más favorable para la protección de los derechos.  </w:t>
      </w:r>
    </w:p>
    <w:p w14:paraId="0C6689E2" w14:textId="77777777" w:rsidR="00696DBD" w:rsidRPr="00696DBD" w:rsidRDefault="00696DBD" w:rsidP="00CF3B88">
      <w:pPr>
        <w:spacing w:after="152"/>
        <w:ind w:left="580" w:right="459"/>
        <w:jc w:val="both"/>
        <w:rPr>
          <w:rFonts w:ascii="Arial" w:hAnsi="Arial" w:cs="Arial"/>
        </w:rPr>
      </w:pPr>
      <w:r w:rsidRPr="00696DBD">
        <w:rPr>
          <w:rFonts w:ascii="Arial" w:hAnsi="Arial" w:cs="Arial"/>
          <w:u w:val="single" w:color="000000"/>
        </w:rPr>
        <w:t>Adecuación del derecho interno:</w:t>
      </w:r>
      <w:r w:rsidRPr="00696DBD">
        <w:rPr>
          <w:rFonts w:ascii="Arial" w:hAnsi="Arial" w:cs="Arial"/>
        </w:rPr>
        <w:t xml:space="preserve"> Si se encuentra que una norma nacional es incompatible con la Convención Americana, se debe tomar medidas para reformar o derogar.  </w:t>
      </w:r>
    </w:p>
    <w:p w14:paraId="54C464F6" w14:textId="77777777" w:rsidR="00696DBD" w:rsidRPr="00696DBD" w:rsidRDefault="00696DBD" w:rsidP="00CF3B88">
      <w:pPr>
        <w:spacing w:after="152"/>
        <w:ind w:left="-5" w:right="459"/>
        <w:jc w:val="both"/>
        <w:rPr>
          <w:rFonts w:ascii="Arial" w:hAnsi="Arial" w:cs="Arial"/>
        </w:rPr>
      </w:pPr>
      <w:r w:rsidRPr="00696DBD">
        <w:rPr>
          <w:rFonts w:ascii="Arial" w:hAnsi="Arial" w:cs="Arial"/>
        </w:rPr>
        <w:lastRenderedPageBreak/>
        <w:t xml:space="preserve">Es una herramienta fundamental para asegurar que los Estados respeten y garanticen los derechos humanos reconocidos en los tratados internacionales, protegiendo así a las personas que están bajo su jurisdicción. </w:t>
      </w:r>
    </w:p>
    <w:p w14:paraId="0D62249C" w14:textId="77777777" w:rsidR="00696DBD" w:rsidRPr="00696DBD" w:rsidRDefault="00696DBD" w:rsidP="00CF3B88">
      <w:pPr>
        <w:spacing w:after="152"/>
        <w:ind w:left="-5" w:right="459"/>
        <w:jc w:val="both"/>
        <w:rPr>
          <w:rFonts w:ascii="Arial" w:hAnsi="Arial" w:cs="Arial"/>
        </w:rPr>
      </w:pPr>
      <w:r w:rsidRPr="00696DBD">
        <w:rPr>
          <w:rFonts w:ascii="Arial" w:hAnsi="Arial" w:cs="Arial"/>
        </w:rPr>
        <w:t xml:space="preserve">(En este orden de ideas, la Corte IDH dictó sentencia en el caso “Almonacid Arellano, y estableció que los jueces y tribunales internos no sólo están obligados a aplicar las normas vigentes de su ordenamiento jurídico, sino también están sometidos a las disposiciones consagradas en la CADH y a las interpretaciones que haya hecho la Corte IDH de estas disposiciones.)  </w:t>
      </w:r>
    </w:p>
    <w:p w14:paraId="09233617" w14:textId="77777777" w:rsidR="00696DBD" w:rsidRPr="00696DBD" w:rsidRDefault="00696DBD" w:rsidP="00CF3B88">
      <w:pPr>
        <w:spacing w:after="152"/>
        <w:ind w:left="-5" w:right="459"/>
        <w:jc w:val="both"/>
        <w:rPr>
          <w:rFonts w:ascii="Arial" w:hAnsi="Arial" w:cs="Arial"/>
        </w:rPr>
      </w:pPr>
      <w:r w:rsidRPr="00696DBD">
        <w:rPr>
          <w:rFonts w:ascii="Arial" w:hAnsi="Arial" w:cs="Arial"/>
        </w:rPr>
        <w:t xml:space="preserve">El Poder Judicial debe ejercer una especie de “control de convencionalidad” entre las normas jurídicas internas que aplican en los casos concretos y la Convención Americana sobre Derechos Humanos. En esta tarea, el Poder Judicial debe tener en cuenta no solamente el tratado, sino también la interpretación que del mismo ha hecho la Corte Interamericana, intérprete última de la Convención Americana”. </w:t>
      </w:r>
    </w:p>
    <w:p w14:paraId="26DEB36C" w14:textId="77777777" w:rsidR="00696DBD" w:rsidRPr="00696DBD" w:rsidRDefault="00696DBD" w:rsidP="00CF3B88">
      <w:pPr>
        <w:spacing w:after="152"/>
        <w:ind w:left="-5" w:right="459"/>
        <w:jc w:val="both"/>
        <w:rPr>
          <w:rFonts w:ascii="Arial" w:hAnsi="Arial" w:cs="Arial"/>
        </w:rPr>
      </w:pPr>
      <w:r w:rsidRPr="00696DBD">
        <w:rPr>
          <w:rFonts w:ascii="Arial" w:hAnsi="Arial" w:cs="Arial"/>
        </w:rPr>
        <w:t xml:space="preserve">Hoy los tribunales locales deben realizar un doble control: en primer término, de constitucionalidad y, por otro lado, de convencionalidad, para cuidar que las normas locales no contradigan lo acordado en el plano internacional por nuestro país y la interpretación que de ello hacen los tribunales internacionales competentes a tal fin. </w:t>
      </w:r>
    </w:p>
    <w:p w14:paraId="4896105F" w14:textId="77777777" w:rsidR="00696DBD" w:rsidRPr="00696DBD" w:rsidRDefault="00696DBD" w:rsidP="00CF3B88">
      <w:pPr>
        <w:spacing w:after="152"/>
        <w:ind w:left="-5" w:right="459"/>
        <w:jc w:val="both"/>
        <w:rPr>
          <w:rFonts w:ascii="Arial" w:hAnsi="Arial" w:cs="Arial"/>
        </w:rPr>
      </w:pPr>
      <w:r w:rsidRPr="00696DBD">
        <w:rPr>
          <w:rFonts w:ascii="Arial" w:hAnsi="Arial" w:cs="Arial"/>
        </w:rPr>
        <w:t xml:space="preserve">Ese es el llamado control de </w:t>
      </w:r>
      <w:r w:rsidRPr="00696DBD">
        <w:rPr>
          <w:rFonts w:ascii="Arial" w:hAnsi="Arial" w:cs="Arial"/>
          <w:u w:val="single" w:color="000000"/>
        </w:rPr>
        <w:t>convencionalidad interno,</w:t>
      </w:r>
      <w:r w:rsidRPr="00696DBD">
        <w:rPr>
          <w:rFonts w:ascii="Arial" w:hAnsi="Arial" w:cs="Arial"/>
        </w:rPr>
        <w:t xml:space="preserve"> ya que es realizado por los órganos jurisdiccionales de nuestro país; a la par de este control, coexiste el de </w:t>
      </w:r>
      <w:r w:rsidRPr="00696DBD">
        <w:rPr>
          <w:rFonts w:ascii="Arial" w:hAnsi="Arial" w:cs="Arial"/>
          <w:u w:val="single" w:color="000000"/>
        </w:rPr>
        <w:t>convencionalidad externo</w:t>
      </w:r>
      <w:r w:rsidRPr="00696DBD">
        <w:rPr>
          <w:rFonts w:ascii="Arial" w:hAnsi="Arial" w:cs="Arial"/>
        </w:rPr>
        <w:t xml:space="preserve"> realizado por los órganos creados a tal fin, que serían la Comisión Interamericana de DD. HH. y, fundamentalmente, la Corte Interamericana de DD.HH.  </w:t>
      </w:r>
    </w:p>
    <w:p w14:paraId="3FFEFA0F" w14:textId="77777777" w:rsidR="00696DBD" w:rsidRPr="00696DBD" w:rsidRDefault="00696DBD" w:rsidP="00CF3B88">
      <w:pPr>
        <w:jc w:val="both"/>
        <w:rPr>
          <w:rFonts w:ascii="Arial" w:hAnsi="Arial" w:cs="Arial"/>
          <w:b/>
          <w:u w:val="single"/>
        </w:rPr>
      </w:pPr>
    </w:p>
    <w:p w14:paraId="33CBDA5B" w14:textId="77777777" w:rsidR="00696DBD" w:rsidRDefault="00696DBD" w:rsidP="00CF3B88">
      <w:pPr>
        <w:jc w:val="both"/>
        <w:rPr>
          <w:rFonts w:ascii="Arial" w:hAnsi="Arial" w:cs="Arial"/>
          <w:b/>
          <w:u w:val="single"/>
        </w:rPr>
      </w:pPr>
      <w:r w:rsidRPr="00696DBD">
        <w:rPr>
          <w:rFonts w:ascii="Arial" w:hAnsi="Arial" w:cs="Arial"/>
          <w:b/>
          <w:u w:val="single"/>
        </w:rPr>
        <w:t xml:space="preserve">Igualdad y no discriminación: </w:t>
      </w:r>
    </w:p>
    <w:p w14:paraId="2E84A4C9" w14:textId="77777777" w:rsidR="007B3A6F" w:rsidRDefault="007B3A6F" w:rsidP="00CF3B88">
      <w:pPr>
        <w:ind w:left="-5" w:right="459"/>
        <w:jc w:val="both"/>
      </w:pPr>
      <w:r>
        <w:t xml:space="preserve">El principio de no discriminación se rige como uno de los pilares fundamentales, siendo reconocido internacionalmente debido a ser inherente a la dignidad humana. Todas las personas nacen iguales en derechos y no debe haber distinciones, privilegios o exclusiones. </w:t>
      </w:r>
    </w:p>
    <w:p w14:paraId="31B270B0" w14:textId="77777777" w:rsidR="007B3A6F" w:rsidRDefault="007B3A6F" w:rsidP="00CF3B88">
      <w:pPr>
        <w:pStyle w:val="Prrafodelista"/>
        <w:numPr>
          <w:ilvl w:val="0"/>
          <w:numId w:val="4"/>
        </w:numPr>
        <w:spacing w:after="3" w:line="248" w:lineRule="auto"/>
        <w:ind w:right="459"/>
        <w:jc w:val="both"/>
      </w:pPr>
      <w:r w:rsidRPr="007B3A6F">
        <w:rPr>
          <w:b/>
          <w:u w:val="single" w:color="000000"/>
        </w:rPr>
        <w:t>igualdad formal</w:t>
      </w:r>
      <w:r w:rsidRPr="007B3A6F">
        <w:rPr>
          <w:u w:val="single" w:color="000000"/>
        </w:rPr>
        <w:t xml:space="preserve">: </w:t>
      </w:r>
      <w:r>
        <w:t xml:space="preserve">que no haya tratos preferenciales, excluyentes. Que haya una regla de igualdad de trato. Característica inherente a la dignidad humana. </w:t>
      </w:r>
    </w:p>
    <w:p w14:paraId="2599D639" w14:textId="77777777" w:rsidR="007B3A6F" w:rsidRDefault="007B3A6F" w:rsidP="00CF3B88">
      <w:pPr>
        <w:pStyle w:val="Prrafodelista"/>
        <w:numPr>
          <w:ilvl w:val="0"/>
          <w:numId w:val="4"/>
        </w:numPr>
        <w:spacing w:after="3" w:line="248" w:lineRule="auto"/>
        <w:ind w:right="459"/>
        <w:jc w:val="both"/>
      </w:pPr>
      <w:r w:rsidRPr="007B3A6F">
        <w:rPr>
          <w:b/>
          <w:u w:val="single" w:color="000000"/>
        </w:rPr>
        <w:t>igualdad material</w:t>
      </w:r>
      <w:r w:rsidRPr="007B3A6F">
        <w:rPr>
          <w:u w:val="single" w:color="000000"/>
        </w:rPr>
        <w:t>:</w:t>
      </w:r>
      <w:r>
        <w:t xml:space="preserve"> pone el acento en la necesidad de que se tomen medidas para equiparar, equilibrar situaciones desiguales. </w:t>
      </w:r>
    </w:p>
    <w:p w14:paraId="19BC0AB9" w14:textId="77777777" w:rsidR="007B3A6F" w:rsidRDefault="007B3A6F" w:rsidP="00CF3B88">
      <w:pPr>
        <w:ind w:left="10" w:right="459"/>
        <w:jc w:val="both"/>
      </w:pPr>
      <w:r>
        <w:t xml:space="preserve">Es de destacar que la CIDH </w:t>
      </w:r>
      <w:r w:rsidRPr="007B3A6F">
        <w:rPr>
          <w:b/>
        </w:rPr>
        <w:t>entiende a la igualdad y no discriminación como principio rector, como derecho y como garantía</w:t>
      </w:r>
      <w:r>
        <w:t xml:space="preserve">, es decir que se trata de un principio cuya trascendencia impacta en todos los demás derechos consagrados a nivel del derecho interno y del derecho internacional.  </w:t>
      </w:r>
    </w:p>
    <w:p w14:paraId="5DF40FA8" w14:textId="77777777" w:rsidR="007B3A6F" w:rsidRDefault="007B3A6F" w:rsidP="00CF3B88">
      <w:pPr>
        <w:ind w:left="10" w:right="459"/>
        <w:jc w:val="both"/>
      </w:pPr>
      <w:r>
        <w:t xml:space="preserve">La </w:t>
      </w:r>
      <w:r w:rsidRPr="007B3A6F">
        <w:rPr>
          <w:b/>
        </w:rPr>
        <w:t>discriminación</w:t>
      </w:r>
      <w:r>
        <w:t xml:space="preserve"> constituye toda distinción, exclusión, restricción o preferencia que se basen en determinados motivos, como la raza, el color, el sexo, el idioma, la religión, la opinión política o de otra índole, el origen nacional o social, la posición económica, el nacimiento o cualquier otra condición social, y que tengan por objeto o por resultado anular o menoscabar el reconocimiento, goce o ejercicio, en condiciones de igualdad, de los derechos humanos y libertades fundamentales de todas las personas.  </w:t>
      </w:r>
    </w:p>
    <w:p w14:paraId="77097F90" w14:textId="77777777" w:rsidR="007B3A6F" w:rsidRPr="00696DBD" w:rsidRDefault="007B3A6F" w:rsidP="00CF3B88">
      <w:pPr>
        <w:jc w:val="both"/>
        <w:rPr>
          <w:rFonts w:ascii="Arial" w:hAnsi="Arial" w:cs="Arial"/>
          <w:b/>
          <w:u w:val="single"/>
        </w:rPr>
      </w:pPr>
    </w:p>
    <w:sectPr w:rsidR="007B3A6F" w:rsidRPr="00696DB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360A59CB"/>
    <w:multiLevelType w:val="hybridMultilevel"/>
    <w:tmpl w:val="1320239A"/>
    <w:lvl w:ilvl="0" w:tplc="4644F7B4">
      <w:start w:val="1"/>
      <w:numFmt w:val="bullet"/>
      <w:lvlText w:val="-"/>
      <w:lvlJc w:val="left"/>
      <w:pPr>
        <w:ind w:left="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7DCE762">
      <w:start w:val="1"/>
      <w:numFmt w:val="bullet"/>
      <w:lvlText w:val="o"/>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517203FA">
      <w:start w:val="1"/>
      <w:numFmt w:val="bullet"/>
      <w:lvlText w:val="▪"/>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06368D94">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DF8A0E0">
      <w:start w:val="1"/>
      <w:numFmt w:val="bullet"/>
      <w:lvlText w:val="o"/>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5F86160A">
      <w:start w:val="1"/>
      <w:numFmt w:val="bullet"/>
      <w:lvlText w:val="▪"/>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CE1204D0">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87E94B4">
      <w:start w:val="1"/>
      <w:numFmt w:val="bullet"/>
      <w:lvlText w:val="o"/>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5BA2C888">
      <w:start w:val="1"/>
      <w:numFmt w:val="bullet"/>
      <w:lvlText w:val="▪"/>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3D325B7F"/>
    <w:multiLevelType w:val="hybridMultilevel"/>
    <w:tmpl w:val="C1964A34"/>
    <w:lvl w:ilvl="0" w:tplc="FCA634F6">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C5ECA86">
      <w:start w:val="1"/>
      <w:numFmt w:val="bullet"/>
      <w:lvlText w:val="o"/>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24064C34">
      <w:start w:val="1"/>
      <w:numFmt w:val="bullet"/>
      <w:lvlText w:val="▪"/>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CC6A7E8A">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642620A">
      <w:start w:val="1"/>
      <w:numFmt w:val="bullet"/>
      <w:lvlText w:val="o"/>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7EAAD0B8">
      <w:start w:val="1"/>
      <w:numFmt w:val="bullet"/>
      <w:lvlText w:val="▪"/>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B9FCA022">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906B15A">
      <w:start w:val="1"/>
      <w:numFmt w:val="bullet"/>
      <w:lvlText w:val="o"/>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525E6806">
      <w:start w:val="1"/>
      <w:numFmt w:val="bullet"/>
      <w:lvlText w:val="▪"/>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4A7708D2"/>
    <w:multiLevelType w:val="hybridMultilevel"/>
    <w:tmpl w:val="31C0FD94"/>
    <w:lvl w:ilvl="0" w:tplc="C3DA3A3C">
      <w:start w:val="1"/>
      <w:numFmt w:val="bullet"/>
      <w:lvlText w:val="-"/>
      <w:lvlJc w:val="left"/>
      <w:pPr>
        <w:ind w:left="1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8B747A82">
      <w:start w:val="1"/>
      <w:numFmt w:val="bullet"/>
      <w:lvlText w:val="o"/>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73FADA1E">
      <w:start w:val="1"/>
      <w:numFmt w:val="bullet"/>
      <w:lvlText w:val="▪"/>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5EDC878E">
      <w:start w:val="1"/>
      <w:numFmt w:val="bullet"/>
      <w:lvlText w:val="•"/>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F0F0D838">
      <w:start w:val="1"/>
      <w:numFmt w:val="bullet"/>
      <w:lvlText w:val="o"/>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9BD6CF50">
      <w:start w:val="1"/>
      <w:numFmt w:val="bullet"/>
      <w:lvlText w:val="▪"/>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C538B030">
      <w:start w:val="1"/>
      <w:numFmt w:val="bullet"/>
      <w:lvlText w:val="•"/>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96304A94">
      <w:start w:val="1"/>
      <w:numFmt w:val="bullet"/>
      <w:lvlText w:val="o"/>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7C36C0BC">
      <w:start w:val="1"/>
      <w:numFmt w:val="bullet"/>
      <w:lvlText w:val="▪"/>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4B3F7236"/>
    <w:multiLevelType w:val="hybridMultilevel"/>
    <w:tmpl w:val="25FEE7B2"/>
    <w:lvl w:ilvl="0" w:tplc="A2868C8A">
      <w:start w:val="1"/>
      <w:numFmt w:val="upperLetter"/>
      <w:lvlText w:val="%1."/>
      <w:lvlJc w:val="left"/>
      <w:pPr>
        <w:ind w:left="370" w:hanging="360"/>
      </w:pPr>
      <w:rPr>
        <w:rFonts w:hint="default"/>
        <w:u w:val="single"/>
      </w:rPr>
    </w:lvl>
    <w:lvl w:ilvl="1" w:tplc="2C0A0019" w:tentative="1">
      <w:start w:val="1"/>
      <w:numFmt w:val="lowerLetter"/>
      <w:lvlText w:val="%2."/>
      <w:lvlJc w:val="left"/>
      <w:pPr>
        <w:ind w:left="1090" w:hanging="360"/>
      </w:pPr>
    </w:lvl>
    <w:lvl w:ilvl="2" w:tplc="2C0A001B" w:tentative="1">
      <w:start w:val="1"/>
      <w:numFmt w:val="lowerRoman"/>
      <w:lvlText w:val="%3."/>
      <w:lvlJc w:val="right"/>
      <w:pPr>
        <w:ind w:left="1810" w:hanging="180"/>
      </w:pPr>
    </w:lvl>
    <w:lvl w:ilvl="3" w:tplc="2C0A000F" w:tentative="1">
      <w:start w:val="1"/>
      <w:numFmt w:val="decimal"/>
      <w:lvlText w:val="%4."/>
      <w:lvlJc w:val="left"/>
      <w:pPr>
        <w:ind w:left="2530" w:hanging="360"/>
      </w:pPr>
    </w:lvl>
    <w:lvl w:ilvl="4" w:tplc="2C0A0019" w:tentative="1">
      <w:start w:val="1"/>
      <w:numFmt w:val="lowerLetter"/>
      <w:lvlText w:val="%5."/>
      <w:lvlJc w:val="left"/>
      <w:pPr>
        <w:ind w:left="3250" w:hanging="360"/>
      </w:pPr>
    </w:lvl>
    <w:lvl w:ilvl="5" w:tplc="2C0A001B" w:tentative="1">
      <w:start w:val="1"/>
      <w:numFmt w:val="lowerRoman"/>
      <w:lvlText w:val="%6."/>
      <w:lvlJc w:val="right"/>
      <w:pPr>
        <w:ind w:left="3970" w:hanging="180"/>
      </w:pPr>
    </w:lvl>
    <w:lvl w:ilvl="6" w:tplc="2C0A000F" w:tentative="1">
      <w:start w:val="1"/>
      <w:numFmt w:val="decimal"/>
      <w:lvlText w:val="%7."/>
      <w:lvlJc w:val="left"/>
      <w:pPr>
        <w:ind w:left="4690" w:hanging="360"/>
      </w:pPr>
    </w:lvl>
    <w:lvl w:ilvl="7" w:tplc="2C0A0019" w:tentative="1">
      <w:start w:val="1"/>
      <w:numFmt w:val="lowerLetter"/>
      <w:lvlText w:val="%8."/>
      <w:lvlJc w:val="left"/>
      <w:pPr>
        <w:ind w:left="5410" w:hanging="360"/>
      </w:pPr>
    </w:lvl>
    <w:lvl w:ilvl="8" w:tplc="2C0A001B" w:tentative="1">
      <w:start w:val="1"/>
      <w:numFmt w:val="lowerRoman"/>
      <w:lvlText w:val="%9."/>
      <w:lvlJc w:val="right"/>
      <w:pPr>
        <w:ind w:left="6130" w:hanging="180"/>
      </w:pPr>
    </w:lvl>
  </w:abstractNum>
  <w:num w:numId="1" w16cid:durableId="1658419319">
    <w:abstractNumId w:val="2"/>
  </w:num>
  <w:num w:numId="2" w16cid:durableId="1173109157">
    <w:abstractNumId w:val="1"/>
  </w:num>
  <w:num w:numId="3" w16cid:durableId="991300663">
    <w:abstractNumId w:val="0"/>
  </w:num>
  <w:num w:numId="4" w16cid:durableId="1468624160">
    <w:abstractNumId w:val="3"/>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7"/>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4877"/>
    <w:rsid w:val="00696DBD"/>
    <w:rsid w:val="007B3A6F"/>
    <w:rsid w:val="00893F0C"/>
    <w:rsid w:val="00930606"/>
    <w:rsid w:val="00A06F95"/>
    <w:rsid w:val="00CF3B88"/>
    <w:rsid w:val="00D44FB5"/>
    <w:rsid w:val="00E4677C"/>
    <w:rsid w:val="00F441E4"/>
    <w:rsid w:val="00F44877"/>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3976CD"/>
  <w15:chartTrackingRefBased/>
  <w15:docId w15:val="{5E8D0C9D-588F-47F2-A9B1-07920FB6A4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2"/>
        <w:szCs w:val="22"/>
        <w:lang w:val="es-A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7B3A6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55</TotalTime>
  <Pages>4</Pages>
  <Words>1716</Words>
  <Characters>9444</Characters>
  <Application>Microsoft Office Word</Application>
  <DocSecurity>0</DocSecurity>
  <Lines>78</Lines>
  <Paragraphs>22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Agustina Barreda</dc:creator>
  <cp:keywords/>
  <dc:description/>
  <cp:lastModifiedBy>Microsoft Office User</cp:lastModifiedBy>
  <cp:revision>3</cp:revision>
  <dcterms:created xsi:type="dcterms:W3CDTF">2026-05-26T17:01:00Z</dcterms:created>
  <dcterms:modified xsi:type="dcterms:W3CDTF">2026-07-16T21:04:00Z</dcterms:modified>
</cp:coreProperties>
</file>