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BD2659" w14:textId="04AEB909" w:rsidR="001605EA" w:rsidRDefault="001605EA" w:rsidP="001605EA">
      <w:pPr>
        <w:jc w:val="both"/>
        <w:rPr>
          <w:lang w:val="en-US"/>
        </w:rPr>
      </w:pPr>
      <w:proofErr w:type="spellStart"/>
      <w:r w:rsidRPr="001605EA">
        <w:rPr>
          <w:b/>
          <w:bCs/>
          <w:sz w:val="28"/>
          <w:szCs w:val="28"/>
          <w:u w:val="single"/>
          <w:lang w:val="en-US"/>
        </w:rPr>
        <w:t>Imputabilidad</w:t>
      </w:r>
      <w:proofErr w:type="spellEnd"/>
      <w:r>
        <w:rPr>
          <w:lang w:val="en-US"/>
        </w:rPr>
        <w:t>.</w:t>
      </w:r>
    </w:p>
    <w:p w14:paraId="34099E4B" w14:textId="620B8893" w:rsidR="001605EA" w:rsidRPr="00454608" w:rsidRDefault="001605EA" w:rsidP="001605EA">
      <w:pPr>
        <w:jc w:val="both"/>
        <w:rPr>
          <w:rFonts w:ascii="Arial" w:hAnsi="Arial" w:cs="Arial"/>
        </w:rPr>
      </w:pPr>
      <w:r w:rsidRPr="00454608">
        <w:rPr>
          <w:rFonts w:ascii="Arial" w:hAnsi="Arial" w:cs="Arial"/>
        </w:rPr>
        <w:t xml:space="preserve">Como </w:t>
      </w:r>
      <w:r>
        <w:rPr>
          <w:rFonts w:ascii="Arial" w:hAnsi="Arial" w:cs="Arial"/>
        </w:rPr>
        <w:t>ya hemos visto anteriormente</w:t>
      </w:r>
      <w:r w:rsidRPr="00454608">
        <w:rPr>
          <w:rFonts w:ascii="Arial" w:hAnsi="Arial" w:cs="Arial"/>
        </w:rPr>
        <w:t xml:space="preserve">, </w:t>
      </w:r>
      <w:r>
        <w:rPr>
          <w:rFonts w:ascii="Arial" w:hAnsi="Arial" w:cs="Arial"/>
        </w:rPr>
        <w:t>una de las finalidades de la</w:t>
      </w:r>
      <w:r w:rsidRPr="00454608">
        <w:rPr>
          <w:rFonts w:ascii="Arial" w:hAnsi="Arial" w:cs="Arial"/>
        </w:rPr>
        <w:t xml:space="preserve"> pena e</w:t>
      </w:r>
      <w:r>
        <w:rPr>
          <w:rFonts w:ascii="Arial" w:hAnsi="Arial" w:cs="Arial"/>
        </w:rPr>
        <w:t>s</w:t>
      </w:r>
      <w:r w:rsidRPr="00454608">
        <w:rPr>
          <w:rFonts w:ascii="Arial" w:hAnsi="Arial" w:cs="Arial"/>
        </w:rPr>
        <w:t xml:space="preserve"> </w:t>
      </w:r>
      <w:r>
        <w:rPr>
          <w:rFonts w:ascii="Arial" w:hAnsi="Arial" w:cs="Arial"/>
        </w:rPr>
        <w:t xml:space="preserve">aquella </w:t>
      </w:r>
      <w:r w:rsidRPr="00454608">
        <w:rPr>
          <w:rFonts w:ascii="Arial" w:hAnsi="Arial" w:cs="Arial"/>
        </w:rPr>
        <w:t xml:space="preserve"> prevención tendiente a evitar la delincuencia (protegiendo la seguridad de la sociedad); y en la retribución de un mal, a quien ha delinquido.</w:t>
      </w:r>
    </w:p>
    <w:p w14:paraId="700A7F55" w14:textId="77777777" w:rsidR="001605EA" w:rsidRPr="00454608" w:rsidRDefault="001605EA" w:rsidP="001605EA">
      <w:pPr>
        <w:jc w:val="both"/>
        <w:rPr>
          <w:rFonts w:ascii="Arial" w:hAnsi="Arial" w:cs="Arial"/>
        </w:rPr>
      </w:pPr>
      <w:r w:rsidRPr="00454608">
        <w:rPr>
          <w:rFonts w:ascii="Arial" w:hAnsi="Arial" w:cs="Arial"/>
        </w:rPr>
        <w:t>Pero si un delito es cometido, por ejemplo, por un menor o por un demente, ellos no pueden ser retribuidos con una pena, porque son inimputables.</w:t>
      </w:r>
    </w:p>
    <w:p w14:paraId="5DC3C2C8" w14:textId="77777777" w:rsidR="001605EA" w:rsidRDefault="001605EA" w:rsidP="001605EA">
      <w:pPr>
        <w:jc w:val="both"/>
        <w:rPr>
          <w:rFonts w:ascii="Arial" w:hAnsi="Arial" w:cs="Arial"/>
        </w:rPr>
      </w:pPr>
      <w:r w:rsidRPr="00454608">
        <w:rPr>
          <w:rFonts w:ascii="Arial" w:hAnsi="Arial" w:cs="Arial"/>
        </w:rPr>
        <w:t xml:space="preserve">Cuando hablamos de inimputabilidad, hacemos referencia al artículo 34 del código penal, el cual nos indica: </w:t>
      </w:r>
    </w:p>
    <w:p w14:paraId="3A9E104D" w14:textId="77777777" w:rsidR="001605EA" w:rsidRPr="00454608" w:rsidRDefault="001605EA" w:rsidP="001605EA">
      <w:pPr>
        <w:jc w:val="both"/>
        <w:rPr>
          <w:rFonts w:ascii="Arial" w:hAnsi="Arial" w:cs="Arial"/>
        </w:rPr>
      </w:pPr>
      <w:r w:rsidRPr="00454608">
        <w:rPr>
          <w:rFonts w:ascii="Arial" w:hAnsi="Arial" w:cs="Arial"/>
          <w:b/>
          <w:bCs/>
        </w:rPr>
        <w:t>ARTICULO 34.-</w:t>
      </w:r>
      <w:r w:rsidRPr="00454608">
        <w:rPr>
          <w:rFonts w:ascii="Arial" w:hAnsi="Arial" w:cs="Arial"/>
        </w:rPr>
        <w:t> No son punibles:</w:t>
      </w:r>
    </w:p>
    <w:p w14:paraId="5CE43DED" w14:textId="77777777" w:rsidR="001605EA" w:rsidRPr="00454608" w:rsidRDefault="001605EA" w:rsidP="001605EA">
      <w:pPr>
        <w:jc w:val="both"/>
        <w:rPr>
          <w:rFonts w:ascii="Arial" w:hAnsi="Arial" w:cs="Arial"/>
        </w:rPr>
      </w:pPr>
      <w:r w:rsidRPr="00454608">
        <w:rPr>
          <w:rFonts w:ascii="Arial" w:hAnsi="Arial" w:cs="Arial"/>
        </w:rPr>
        <w:t>1º. El que no haya podido en el momento del hecho, ya sea por insuficiencia de sus facultades, por alteraciones morbosas de las mismas o por su estado de inconciencia, error o ignorancia de hecho no imputables, comprender la criminalidad del acto o dirigir sus acciones.</w:t>
      </w:r>
    </w:p>
    <w:p w14:paraId="3B2892C7" w14:textId="77777777" w:rsidR="001605EA" w:rsidRPr="00454608" w:rsidRDefault="001605EA" w:rsidP="001605EA">
      <w:pPr>
        <w:jc w:val="both"/>
        <w:rPr>
          <w:rFonts w:ascii="Arial" w:hAnsi="Arial" w:cs="Arial"/>
        </w:rPr>
      </w:pPr>
      <w:r w:rsidRPr="00454608">
        <w:rPr>
          <w:rFonts w:ascii="Arial" w:hAnsi="Arial" w:cs="Arial"/>
        </w:rPr>
        <w:t>En caso de enajenación, el tribunal podrá ordenar la reclusión del agente en un manicomio, del que no saldrá sino por resolución judicial, con audiencia del ministerio público y previo dictamen de peritos que declaren desaparecido el peligro de que el enfermo se dañe a sí mismo o a los demás.</w:t>
      </w:r>
    </w:p>
    <w:p w14:paraId="1E93A26E" w14:textId="77777777" w:rsidR="001605EA" w:rsidRPr="00454608" w:rsidRDefault="001605EA" w:rsidP="001605EA">
      <w:pPr>
        <w:jc w:val="both"/>
        <w:rPr>
          <w:rFonts w:ascii="Arial" w:hAnsi="Arial" w:cs="Arial"/>
        </w:rPr>
      </w:pPr>
      <w:r w:rsidRPr="00454608">
        <w:rPr>
          <w:rFonts w:ascii="Arial" w:hAnsi="Arial" w:cs="Arial"/>
        </w:rPr>
        <w:t>En los demás casos en que se absolviere a un procesado por las causales del presente inciso, el tribunal ordenará la reclusión del mismo en un establecimiento adecuado hasta que se comprobase la desaparición de las condiciones que le hicieren peligroso;</w:t>
      </w:r>
    </w:p>
    <w:p w14:paraId="20CB0A0A" w14:textId="77777777" w:rsidR="001605EA" w:rsidRPr="00454608" w:rsidRDefault="001605EA" w:rsidP="001605EA">
      <w:pPr>
        <w:jc w:val="both"/>
        <w:rPr>
          <w:rFonts w:ascii="Arial" w:hAnsi="Arial" w:cs="Arial"/>
        </w:rPr>
      </w:pPr>
      <w:r w:rsidRPr="00454608">
        <w:rPr>
          <w:rFonts w:ascii="Arial" w:hAnsi="Arial" w:cs="Arial"/>
        </w:rPr>
        <w:t>2º. El que obrare violentado por fuerza física irresistible o amenazas de sufrir un mal grave e inminente;</w:t>
      </w:r>
    </w:p>
    <w:p w14:paraId="284CDE54" w14:textId="77777777" w:rsidR="001605EA" w:rsidRPr="00454608" w:rsidRDefault="001605EA" w:rsidP="001605EA">
      <w:pPr>
        <w:jc w:val="both"/>
        <w:rPr>
          <w:rFonts w:ascii="Arial" w:hAnsi="Arial" w:cs="Arial"/>
        </w:rPr>
      </w:pPr>
      <w:r w:rsidRPr="00454608">
        <w:rPr>
          <w:rFonts w:ascii="Arial" w:hAnsi="Arial" w:cs="Arial"/>
        </w:rPr>
        <w:t>3º. El que causare un mal por evitar otro mayor inminente a que ha sido extraño;</w:t>
      </w:r>
    </w:p>
    <w:p w14:paraId="27F9F4F0" w14:textId="77777777" w:rsidR="001605EA" w:rsidRPr="00454608" w:rsidRDefault="001605EA" w:rsidP="001605EA">
      <w:pPr>
        <w:jc w:val="both"/>
        <w:rPr>
          <w:rFonts w:ascii="Arial" w:hAnsi="Arial" w:cs="Arial"/>
        </w:rPr>
      </w:pPr>
      <w:r w:rsidRPr="00454608">
        <w:rPr>
          <w:rFonts w:ascii="Arial" w:hAnsi="Arial" w:cs="Arial"/>
        </w:rPr>
        <w:t>4º. El que obrare en cumplimiento de un deber o en el legítimo ejercicio de su derecho, autoridad o cargo;</w:t>
      </w:r>
    </w:p>
    <w:p w14:paraId="3B366C69" w14:textId="77777777" w:rsidR="001605EA" w:rsidRPr="00454608" w:rsidRDefault="001605EA" w:rsidP="001605EA">
      <w:pPr>
        <w:jc w:val="both"/>
        <w:rPr>
          <w:rFonts w:ascii="Arial" w:hAnsi="Arial" w:cs="Arial"/>
        </w:rPr>
      </w:pPr>
      <w:r w:rsidRPr="00454608">
        <w:rPr>
          <w:rFonts w:ascii="Arial" w:hAnsi="Arial" w:cs="Arial"/>
        </w:rPr>
        <w:t>5º. El que obrare en virtud de obediencia debida;</w:t>
      </w:r>
    </w:p>
    <w:p w14:paraId="31E9CE17" w14:textId="77777777" w:rsidR="001605EA" w:rsidRPr="00454608" w:rsidRDefault="001605EA" w:rsidP="001605EA">
      <w:pPr>
        <w:jc w:val="both"/>
        <w:rPr>
          <w:rFonts w:ascii="Arial" w:hAnsi="Arial" w:cs="Arial"/>
        </w:rPr>
      </w:pPr>
      <w:r w:rsidRPr="00454608">
        <w:rPr>
          <w:rFonts w:ascii="Arial" w:hAnsi="Arial" w:cs="Arial"/>
        </w:rPr>
        <w:t>6º. El que obrare en defensa propia o de sus derechos, siempre que concurrieren las siguientes circunstancias:</w:t>
      </w:r>
    </w:p>
    <w:p w14:paraId="719408F1" w14:textId="77777777" w:rsidR="001605EA" w:rsidRPr="00454608" w:rsidRDefault="001605EA" w:rsidP="001605EA">
      <w:pPr>
        <w:jc w:val="both"/>
        <w:rPr>
          <w:rFonts w:ascii="Arial" w:hAnsi="Arial" w:cs="Arial"/>
        </w:rPr>
      </w:pPr>
      <w:r w:rsidRPr="00454608">
        <w:rPr>
          <w:rFonts w:ascii="Arial" w:hAnsi="Arial" w:cs="Arial"/>
        </w:rPr>
        <w:t>a) Agresión ilegítima;</w:t>
      </w:r>
    </w:p>
    <w:p w14:paraId="5727F56B" w14:textId="77777777" w:rsidR="001605EA" w:rsidRPr="00454608" w:rsidRDefault="001605EA" w:rsidP="001605EA">
      <w:pPr>
        <w:jc w:val="both"/>
        <w:rPr>
          <w:rFonts w:ascii="Arial" w:hAnsi="Arial" w:cs="Arial"/>
        </w:rPr>
      </w:pPr>
      <w:r w:rsidRPr="00454608">
        <w:rPr>
          <w:rFonts w:ascii="Arial" w:hAnsi="Arial" w:cs="Arial"/>
        </w:rPr>
        <w:t>b) Necesidad racional del medio empleado para impedirla o repelerla;</w:t>
      </w:r>
    </w:p>
    <w:p w14:paraId="32FEEB0E" w14:textId="77777777" w:rsidR="001605EA" w:rsidRPr="00454608" w:rsidRDefault="001605EA" w:rsidP="001605EA">
      <w:pPr>
        <w:jc w:val="both"/>
        <w:rPr>
          <w:rFonts w:ascii="Arial" w:hAnsi="Arial" w:cs="Arial"/>
        </w:rPr>
      </w:pPr>
      <w:r w:rsidRPr="00454608">
        <w:rPr>
          <w:rFonts w:ascii="Arial" w:hAnsi="Arial" w:cs="Arial"/>
        </w:rPr>
        <w:t>c) Falta de provocación suficiente por parte del que se defiende.</w:t>
      </w:r>
    </w:p>
    <w:p w14:paraId="788C421D" w14:textId="77777777" w:rsidR="001605EA" w:rsidRPr="00454608" w:rsidRDefault="001605EA" w:rsidP="001605EA">
      <w:pPr>
        <w:jc w:val="both"/>
        <w:rPr>
          <w:rFonts w:ascii="Arial" w:hAnsi="Arial" w:cs="Arial"/>
        </w:rPr>
      </w:pPr>
      <w:r w:rsidRPr="00454608">
        <w:rPr>
          <w:rFonts w:ascii="Arial" w:hAnsi="Arial" w:cs="Arial"/>
        </w:rPr>
        <w:lastRenderedPageBreak/>
        <w:t>Se entenderá que concurren estas circunstancias respecto de aquel que durante la noche rechazare el escalamiento o fractura de los cercados, paredes o entradas de su casa, o departamento habitado o de sus dependencias, cualquiera que sea el daño ocasionado al agresor.</w:t>
      </w:r>
    </w:p>
    <w:p w14:paraId="37D13E0F" w14:textId="77777777" w:rsidR="001605EA" w:rsidRPr="00454608" w:rsidRDefault="001605EA" w:rsidP="001605EA">
      <w:pPr>
        <w:jc w:val="both"/>
        <w:rPr>
          <w:rFonts w:ascii="Arial" w:hAnsi="Arial" w:cs="Arial"/>
        </w:rPr>
      </w:pPr>
      <w:r w:rsidRPr="00454608">
        <w:rPr>
          <w:rFonts w:ascii="Arial" w:hAnsi="Arial" w:cs="Arial"/>
        </w:rPr>
        <w:t>Igualmente, respecto de aquél que encontrare a un extraño dentro de su hogar, siempre que haya resistencia;</w:t>
      </w:r>
    </w:p>
    <w:p w14:paraId="71469219" w14:textId="77777777" w:rsidR="001605EA" w:rsidRPr="001605EA" w:rsidRDefault="001605EA" w:rsidP="001605EA">
      <w:pPr>
        <w:jc w:val="both"/>
        <w:rPr>
          <w:rFonts w:ascii="Arial" w:hAnsi="Arial" w:cs="Arial"/>
          <w:b/>
          <w:bCs/>
        </w:rPr>
      </w:pPr>
      <w:r w:rsidRPr="001605EA">
        <w:rPr>
          <w:rFonts w:ascii="Arial" w:hAnsi="Arial" w:cs="Arial"/>
          <w:b/>
          <w:bCs/>
        </w:rPr>
        <w:t>7º. El que obrare en defensa de la persona o derechos de otro, siempre que concurran las circunstancias a) y b) del inciso anterior y caso de haber precedido provocación suficiente por parte del agredido, la de que no haya participado en ella el tercero defensor.</w:t>
      </w:r>
    </w:p>
    <w:p w14:paraId="3B5FC251" w14:textId="77777777" w:rsidR="001605EA" w:rsidRPr="00454608" w:rsidRDefault="001605EA" w:rsidP="001605EA">
      <w:pPr>
        <w:jc w:val="both"/>
        <w:rPr>
          <w:rFonts w:ascii="Arial" w:hAnsi="Arial" w:cs="Arial"/>
        </w:rPr>
      </w:pPr>
      <w:r w:rsidRPr="00454608">
        <w:rPr>
          <w:rFonts w:ascii="Arial" w:hAnsi="Arial" w:cs="Arial"/>
        </w:rPr>
        <w:t xml:space="preserve">En el inciso 7 de dicho artículo, aparece la figura de legitima defensa. </w:t>
      </w:r>
    </w:p>
    <w:p w14:paraId="35ACA0B5" w14:textId="77777777" w:rsidR="001605EA" w:rsidRPr="00454608" w:rsidRDefault="001605EA" w:rsidP="001605EA">
      <w:pPr>
        <w:jc w:val="both"/>
        <w:rPr>
          <w:rFonts w:ascii="Arial" w:hAnsi="Arial" w:cs="Arial"/>
        </w:rPr>
      </w:pPr>
    </w:p>
    <w:p w14:paraId="37D5CDCD" w14:textId="77777777" w:rsidR="001605EA" w:rsidRPr="001605EA" w:rsidRDefault="001605EA" w:rsidP="001605EA">
      <w:pPr>
        <w:jc w:val="both"/>
      </w:pPr>
    </w:p>
    <w:sectPr w:rsidR="001605EA" w:rsidRPr="001605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5EA"/>
    <w:rsid w:val="001605EA"/>
    <w:rsid w:val="00D43D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790C528D"/>
  <w15:chartTrackingRefBased/>
  <w15:docId w15:val="{F4A33251-29F5-AC44-9372-5E92ED41E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60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60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605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605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605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605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605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605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605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05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605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605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605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605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605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605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605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605EA"/>
    <w:rPr>
      <w:rFonts w:eastAsiaTheme="majorEastAsia" w:cstheme="majorBidi"/>
      <w:color w:val="272727" w:themeColor="text1" w:themeTint="D8"/>
    </w:rPr>
  </w:style>
  <w:style w:type="paragraph" w:styleId="Ttulo">
    <w:name w:val="Title"/>
    <w:basedOn w:val="Normal"/>
    <w:next w:val="Normal"/>
    <w:link w:val="TtuloCar"/>
    <w:uiPriority w:val="10"/>
    <w:qFormat/>
    <w:rsid w:val="00160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605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605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605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605EA"/>
    <w:pPr>
      <w:spacing w:before="160"/>
      <w:jc w:val="center"/>
    </w:pPr>
    <w:rPr>
      <w:i/>
      <w:iCs/>
      <w:color w:val="404040" w:themeColor="text1" w:themeTint="BF"/>
    </w:rPr>
  </w:style>
  <w:style w:type="character" w:customStyle="1" w:styleId="CitaCar">
    <w:name w:val="Cita Car"/>
    <w:basedOn w:val="Fuentedeprrafopredeter"/>
    <w:link w:val="Cita"/>
    <w:uiPriority w:val="29"/>
    <w:rsid w:val="001605EA"/>
    <w:rPr>
      <w:i/>
      <w:iCs/>
      <w:color w:val="404040" w:themeColor="text1" w:themeTint="BF"/>
    </w:rPr>
  </w:style>
  <w:style w:type="paragraph" w:styleId="Prrafodelista">
    <w:name w:val="List Paragraph"/>
    <w:basedOn w:val="Normal"/>
    <w:uiPriority w:val="34"/>
    <w:qFormat/>
    <w:rsid w:val="001605EA"/>
    <w:pPr>
      <w:ind w:left="720"/>
      <w:contextualSpacing/>
    </w:pPr>
  </w:style>
  <w:style w:type="character" w:styleId="nfasisintenso">
    <w:name w:val="Intense Emphasis"/>
    <w:basedOn w:val="Fuentedeprrafopredeter"/>
    <w:uiPriority w:val="21"/>
    <w:qFormat/>
    <w:rsid w:val="001605EA"/>
    <w:rPr>
      <w:i/>
      <w:iCs/>
      <w:color w:val="0F4761" w:themeColor="accent1" w:themeShade="BF"/>
    </w:rPr>
  </w:style>
  <w:style w:type="paragraph" w:styleId="Citadestacada">
    <w:name w:val="Intense Quote"/>
    <w:basedOn w:val="Normal"/>
    <w:next w:val="Normal"/>
    <w:link w:val="CitadestacadaCar"/>
    <w:uiPriority w:val="30"/>
    <w:qFormat/>
    <w:rsid w:val="00160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605EA"/>
    <w:rPr>
      <w:i/>
      <w:iCs/>
      <w:color w:val="0F4761" w:themeColor="accent1" w:themeShade="BF"/>
    </w:rPr>
  </w:style>
  <w:style w:type="character" w:styleId="Referenciaintensa">
    <w:name w:val="Intense Reference"/>
    <w:basedOn w:val="Fuentedeprrafopredeter"/>
    <w:uiPriority w:val="32"/>
    <w:qFormat/>
    <w:rsid w:val="001605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411</Words>
  <Characters>2264</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2026-06-24T18:32:00Z</dcterms:created>
  <dcterms:modified xsi:type="dcterms:W3CDTF">2026-06-24T18:39:00Z</dcterms:modified>
</cp:coreProperties>
</file>