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820D5" w14:textId="1546EA82" w:rsidR="00AD179F" w:rsidRPr="00C116A2" w:rsidRDefault="00AD179F" w:rsidP="00C116A2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C116A2">
        <w:rPr>
          <w:rFonts w:ascii="Arial" w:hAnsi="Arial" w:cs="Arial"/>
          <w:b/>
          <w:bCs/>
          <w:sz w:val="28"/>
          <w:szCs w:val="28"/>
          <w:u w:val="single"/>
        </w:rPr>
        <w:t xml:space="preserve">Influencia del derecho internacional en el derecho argentino. </w:t>
      </w:r>
    </w:p>
    <w:p w14:paraId="5979D654" w14:textId="40A8260C" w:rsidR="00AD179F" w:rsidRPr="00C116A2" w:rsidRDefault="00AD179F" w:rsidP="00C116A2">
      <w:p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 xml:space="preserve">La relación entre el derecho internacional y el derecho interno. </w:t>
      </w:r>
    </w:p>
    <w:p w14:paraId="5C63EE1D" w14:textId="21F53B1E" w:rsidR="00AD179F" w:rsidRPr="00C116A2" w:rsidRDefault="00AD179F" w:rsidP="00C116A2">
      <w:p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 xml:space="preserve">Cuando hablamos de la relación entre el derecho internacional y el derecho interno, lo hacemos en base a un solo derecho internacional y múltiples derechos internos, es decir, tantos derechos como estados que agrupa la comunidad internacional. </w:t>
      </w:r>
    </w:p>
    <w:p w14:paraId="3D9ADB1A" w14:textId="48EE9BE5" w:rsidR="00AD179F" w:rsidRPr="00C116A2" w:rsidRDefault="00AD179F" w:rsidP="00C116A2">
      <w:p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 xml:space="preserve">En cuanto a la relación entre uno y los otros, hay dos posiciones tanto en la doctrina como jurisprudencia que han abordado este tema. Estas son: La teoría dualista y la monista. </w:t>
      </w:r>
    </w:p>
    <w:p w14:paraId="0C3F77BF" w14:textId="6ED03186" w:rsidR="00AD179F" w:rsidRPr="00C116A2" w:rsidRDefault="00AD179F" w:rsidP="00C116A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b/>
          <w:bCs/>
          <w:sz w:val="28"/>
          <w:szCs w:val="28"/>
        </w:rPr>
        <w:t>La teoría dualista</w:t>
      </w:r>
      <w:r w:rsidRPr="00C116A2">
        <w:rPr>
          <w:rFonts w:ascii="Arial" w:hAnsi="Arial" w:cs="Arial"/>
          <w:sz w:val="28"/>
          <w:szCs w:val="28"/>
        </w:rPr>
        <w:t xml:space="preserve">: Sostiene la separación e independencia del DIP (derecho internacional público) y de los derechos internos. Cada uno de ellos tiene diversas fuentes, materias y destinatarios -sujetos-. </w:t>
      </w:r>
      <w:r w:rsidR="00FC2510" w:rsidRPr="00C116A2">
        <w:rPr>
          <w:rFonts w:ascii="Arial" w:hAnsi="Arial" w:cs="Arial"/>
          <w:sz w:val="28"/>
          <w:szCs w:val="28"/>
        </w:rPr>
        <w:t>Para estos tanto el derecho interno e internacional, constituyen dos órdenes jurídicos distintos.</w:t>
      </w:r>
    </w:p>
    <w:p w14:paraId="45A0A9B1" w14:textId="77427A8B" w:rsidR="00AD179F" w:rsidRPr="00C116A2" w:rsidRDefault="00AD179F" w:rsidP="00C116A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b/>
          <w:bCs/>
          <w:sz w:val="28"/>
          <w:szCs w:val="28"/>
        </w:rPr>
        <w:t>La teoría monista</w:t>
      </w:r>
      <w:r w:rsidRPr="00C116A2">
        <w:rPr>
          <w:rFonts w:ascii="Arial" w:hAnsi="Arial" w:cs="Arial"/>
          <w:sz w:val="28"/>
          <w:szCs w:val="28"/>
        </w:rPr>
        <w:t xml:space="preserve">: Afirma que el DIP y los derechos internos conforman un solo ordenamiento jurídico. Tiene un concepto unitario de todo el derecho. Lo que implica la necesidad de establecer una relación jerárquica entre las normas internas -de cada estado- y las normas internacionales. Así, habría dentro de un único sistema jurídico, dos subsistemas, con normas de derecho interno y de derecho internacional. </w:t>
      </w:r>
    </w:p>
    <w:p w14:paraId="4A22CBBB" w14:textId="77777777" w:rsidR="00BB3B00" w:rsidRPr="00C116A2" w:rsidRDefault="00BB3B00" w:rsidP="00C116A2">
      <w:pPr>
        <w:jc w:val="both"/>
        <w:rPr>
          <w:rFonts w:ascii="Arial" w:hAnsi="Arial" w:cs="Arial"/>
          <w:sz w:val="28"/>
          <w:szCs w:val="28"/>
        </w:rPr>
      </w:pPr>
    </w:p>
    <w:p w14:paraId="2F72877F" w14:textId="47B56C75" w:rsidR="00BB3B00" w:rsidRPr="00C116A2" w:rsidRDefault="00BB3B00" w:rsidP="00C116A2">
      <w:p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 xml:space="preserve">Dicho esto, y mencionadas las teorías receptadas por la doctrina a nivel internacional, nos vamos a centrar ahora en la relación del DIP y el derecho interno argentino. </w:t>
      </w:r>
    </w:p>
    <w:p w14:paraId="1521B1C6" w14:textId="77777777" w:rsidR="00BB3B00" w:rsidRPr="00C116A2" w:rsidRDefault="00BB3B00" w:rsidP="00C116A2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90C565" w14:textId="77777777" w:rsidR="00BB3B00" w:rsidRPr="00C116A2" w:rsidRDefault="00BB3B00" w:rsidP="00C116A2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8822697" w14:textId="77777777" w:rsidR="00BB3B00" w:rsidRPr="00C116A2" w:rsidRDefault="00BB3B00" w:rsidP="00C116A2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E8C9870" w14:textId="77777777" w:rsidR="00C116A2" w:rsidRDefault="00C116A2" w:rsidP="00C116A2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861A330" w14:textId="77777777" w:rsidR="00C116A2" w:rsidRDefault="00C116A2" w:rsidP="00C116A2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B479758" w14:textId="32C0C566" w:rsidR="00BB3B00" w:rsidRPr="00C116A2" w:rsidRDefault="00BB3B00" w:rsidP="00C116A2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C116A2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Antes de la reforma constitucional de 1994: </w:t>
      </w:r>
    </w:p>
    <w:p w14:paraId="7A635259" w14:textId="2C947EAE" w:rsidR="00BB3B00" w:rsidRPr="00C116A2" w:rsidRDefault="00BB3B00" w:rsidP="00C116A2">
      <w:p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>Teníamos en la constitución nacional dos normas pertinentes: el articulo 27, según el cual los tratados deben estar en conformidad con los principios de derecho público establecidos en la CN, y el articulo 31,según el cual la constitución, las leyes y los tratados son la ley suprema de la nación.</w:t>
      </w:r>
    </w:p>
    <w:p w14:paraId="642FE052" w14:textId="0F541470" w:rsidR="00FC2510" w:rsidRPr="00C116A2" w:rsidRDefault="00FC2510" w:rsidP="00C116A2">
      <w:p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 xml:space="preserve">De estos artículos se desprendía la supremacía de la constitución con respecto a los tratados internacionales (art.27) y la paridad </w:t>
      </w:r>
      <w:r w:rsidR="00C116A2" w:rsidRPr="00C116A2">
        <w:rPr>
          <w:rFonts w:ascii="Arial" w:hAnsi="Arial" w:cs="Arial"/>
          <w:sz w:val="28"/>
          <w:szCs w:val="28"/>
        </w:rPr>
        <w:t>jerárquica</w:t>
      </w:r>
      <w:r w:rsidRPr="00C116A2">
        <w:rPr>
          <w:rFonts w:ascii="Arial" w:hAnsi="Arial" w:cs="Arial"/>
          <w:sz w:val="28"/>
          <w:szCs w:val="28"/>
        </w:rPr>
        <w:t xml:space="preserve"> entre estos y las leyes federales (art.31), posición que durante muchos años sostuvo la Corte Suprema de Justicia de la Nación.</w:t>
      </w:r>
    </w:p>
    <w:p w14:paraId="5E7D1F41" w14:textId="6174A076" w:rsidR="00BB3B00" w:rsidRPr="00C116A2" w:rsidRDefault="00BB3B00" w:rsidP="00C116A2">
      <w:p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 xml:space="preserve">Esta normativa constitucional dejó a la interpretación jurisprudencial aspectos importantes, como la jerarquía de normas que son la ley suprema de la nación. O los alcances del articulo 27 que establece una supremacía de la CN y sus principios por sobre los tratados. </w:t>
      </w:r>
    </w:p>
    <w:p w14:paraId="7C603694" w14:textId="3B00F1B9" w:rsidR="00BB3B00" w:rsidRPr="00C116A2" w:rsidRDefault="00BB3B00" w:rsidP="00C116A2">
      <w:p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 xml:space="preserve">Dichos artículos, daban lugar a que se aplicara el derecho interno por sobre el derecho internacional. </w:t>
      </w:r>
    </w:p>
    <w:p w14:paraId="5A3724BC" w14:textId="3E4C07F2" w:rsidR="00ED0E1A" w:rsidRPr="00C116A2" w:rsidRDefault="00ED0E1A" w:rsidP="00C116A2">
      <w:p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 xml:space="preserve">Luego, con el paso del tiempo, podemos ver como a partir de distintos casos, empieza a cambiar el paradigma sobre la interpretación de estos artículos. A modo de ejemplo podemos ver: </w:t>
      </w:r>
    </w:p>
    <w:p w14:paraId="0F54F22D" w14:textId="77777777" w:rsidR="00ED0E1A" w:rsidRPr="00C116A2" w:rsidRDefault="00ED0E1A" w:rsidP="00C116A2">
      <w:pPr>
        <w:pStyle w:val="p1"/>
        <w:jc w:val="both"/>
        <w:rPr>
          <w:rFonts w:ascii="Arial" w:hAnsi="Arial" w:cs="Arial"/>
          <w:sz w:val="21"/>
          <w:szCs w:val="21"/>
        </w:rPr>
      </w:pPr>
      <w:r w:rsidRPr="00C116A2">
        <w:rPr>
          <w:rFonts w:ascii="Arial" w:hAnsi="Arial" w:cs="Arial"/>
          <w:sz w:val="21"/>
          <w:szCs w:val="21"/>
        </w:rPr>
        <w:t xml:space="preserve">A partir de los casos Martín y </w:t>
      </w:r>
      <w:proofErr w:type="spellStart"/>
      <w:r w:rsidRPr="00C116A2">
        <w:rPr>
          <w:rFonts w:ascii="Arial" w:hAnsi="Arial" w:cs="Arial"/>
          <w:sz w:val="21"/>
          <w:szCs w:val="21"/>
        </w:rPr>
        <w:t>Cía</w:t>
      </w:r>
      <w:proofErr w:type="spellEnd"/>
      <w:r w:rsidRPr="00C116A2">
        <w:rPr>
          <w:rFonts w:ascii="Arial" w:hAnsi="Arial" w:cs="Arial"/>
          <w:sz w:val="21"/>
          <w:szCs w:val="21"/>
        </w:rPr>
        <w:t xml:space="preserve"> Ltda. c/Administración General de Puertos (1963), y</w:t>
      </w:r>
    </w:p>
    <w:p w14:paraId="48DB6C02" w14:textId="77777777" w:rsidR="00ED0E1A" w:rsidRPr="00C116A2" w:rsidRDefault="00ED0E1A" w:rsidP="00C116A2">
      <w:pPr>
        <w:pStyle w:val="p1"/>
        <w:jc w:val="both"/>
        <w:rPr>
          <w:rFonts w:ascii="Arial" w:hAnsi="Arial" w:cs="Arial"/>
          <w:sz w:val="21"/>
          <w:szCs w:val="21"/>
        </w:rPr>
      </w:pPr>
      <w:r w:rsidRPr="00C116A2">
        <w:rPr>
          <w:rFonts w:ascii="Arial" w:hAnsi="Arial" w:cs="Arial"/>
          <w:sz w:val="21"/>
          <w:szCs w:val="21"/>
        </w:rPr>
        <w:t>Esso SA Petrolera Argentina c/Gobierno Nacional (1968), en los que se cuestionaba que</w:t>
      </w:r>
    </w:p>
    <w:p w14:paraId="24CB6364" w14:textId="77777777" w:rsidR="00ED0E1A" w:rsidRPr="00C116A2" w:rsidRDefault="00ED0E1A" w:rsidP="00C116A2">
      <w:pPr>
        <w:pStyle w:val="p1"/>
        <w:jc w:val="both"/>
        <w:rPr>
          <w:rFonts w:ascii="Arial" w:hAnsi="Arial" w:cs="Arial"/>
          <w:sz w:val="21"/>
          <w:szCs w:val="21"/>
        </w:rPr>
      </w:pPr>
      <w:r w:rsidRPr="00C116A2">
        <w:rPr>
          <w:rFonts w:ascii="Arial" w:hAnsi="Arial" w:cs="Arial"/>
          <w:sz w:val="21"/>
          <w:szCs w:val="21"/>
        </w:rPr>
        <w:t>decretos-leyes del Poder Ejecutivo derogaron beneficios establecidos en tratados, la</w:t>
      </w:r>
    </w:p>
    <w:p w14:paraId="29B0C4ED" w14:textId="77777777" w:rsidR="00ED0E1A" w:rsidRPr="00C116A2" w:rsidRDefault="00ED0E1A" w:rsidP="00C116A2">
      <w:pPr>
        <w:pStyle w:val="p1"/>
        <w:jc w:val="both"/>
        <w:rPr>
          <w:rFonts w:ascii="Arial" w:hAnsi="Arial" w:cs="Arial"/>
          <w:sz w:val="21"/>
          <w:szCs w:val="21"/>
        </w:rPr>
      </w:pPr>
      <w:r w:rsidRPr="00C116A2">
        <w:rPr>
          <w:rFonts w:ascii="Arial" w:hAnsi="Arial" w:cs="Arial"/>
          <w:sz w:val="21"/>
          <w:szCs w:val="21"/>
        </w:rPr>
        <w:t>CSJN puso en pie de completa igualdad tratados y leyes, al entender que el artículo 31</w:t>
      </w:r>
    </w:p>
    <w:p w14:paraId="7D7F8A84" w14:textId="77777777" w:rsidR="00ED0E1A" w:rsidRPr="00C116A2" w:rsidRDefault="00ED0E1A" w:rsidP="00C116A2">
      <w:pPr>
        <w:pStyle w:val="p1"/>
        <w:jc w:val="both"/>
        <w:rPr>
          <w:rFonts w:ascii="Arial" w:hAnsi="Arial" w:cs="Arial"/>
          <w:sz w:val="21"/>
          <w:szCs w:val="21"/>
        </w:rPr>
      </w:pPr>
      <w:r w:rsidRPr="00C116A2">
        <w:rPr>
          <w:rFonts w:ascii="Arial" w:hAnsi="Arial" w:cs="Arial"/>
          <w:sz w:val="21"/>
          <w:szCs w:val="21"/>
        </w:rPr>
        <w:t>de la CN no atribuía superioridad a los tratados respecto a las leyes del Congreso,</w:t>
      </w:r>
    </w:p>
    <w:p w14:paraId="20F1E2AA" w14:textId="77777777" w:rsidR="00ED0E1A" w:rsidRPr="00C116A2" w:rsidRDefault="00ED0E1A" w:rsidP="00C116A2">
      <w:pPr>
        <w:pStyle w:val="p1"/>
        <w:jc w:val="both"/>
        <w:rPr>
          <w:rFonts w:ascii="Arial" w:hAnsi="Arial" w:cs="Arial"/>
          <w:sz w:val="21"/>
          <w:szCs w:val="21"/>
        </w:rPr>
      </w:pPr>
      <w:r w:rsidRPr="00C116A2">
        <w:rPr>
          <w:rFonts w:ascii="Arial" w:hAnsi="Arial" w:cs="Arial"/>
          <w:sz w:val="21"/>
          <w:szCs w:val="21"/>
        </w:rPr>
        <w:t>siendo ambos calificados como “ley suprema de la Nación”. Concluyendo en su fallo</w:t>
      </w:r>
    </w:p>
    <w:p w14:paraId="7A915F35" w14:textId="77777777" w:rsidR="00ED0E1A" w:rsidRPr="00C116A2" w:rsidRDefault="00ED0E1A" w:rsidP="00C116A2">
      <w:pPr>
        <w:pStyle w:val="p1"/>
        <w:jc w:val="both"/>
        <w:rPr>
          <w:rFonts w:ascii="Arial" w:hAnsi="Arial" w:cs="Arial"/>
          <w:sz w:val="21"/>
          <w:szCs w:val="21"/>
        </w:rPr>
      </w:pPr>
      <w:r w:rsidRPr="00C116A2">
        <w:rPr>
          <w:rFonts w:ascii="Arial" w:hAnsi="Arial" w:cs="Arial"/>
          <w:sz w:val="21"/>
          <w:szCs w:val="21"/>
        </w:rPr>
        <w:t>que una ley posterior puede derogar un tratado anterior. Adoptó así una vieja</w:t>
      </w:r>
    </w:p>
    <w:p w14:paraId="35FE7116" w14:textId="77777777" w:rsidR="00ED0E1A" w:rsidRPr="00C116A2" w:rsidRDefault="00ED0E1A" w:rsidP="00C116A2">
      <w:pPr>
        <w:pStyle w:val="p1"/>
        <w:jc w:val="both"/>
        <w:rPr>
          <w:rFonts w:ascii="Arial" w:hAnsi="Arial" w:cs="Arial"/>
          <w:sz w:val="21"/>
          <w:szCs w:val="21"/>
        </w:rPr>
      </w:pPr>
      <w:r w:rsidRPr="00C116A2">
        <w:rPr>
          <w:rFonts w:ascii="Arial" w:hAnsi="Arial" w:cs="Arial"/>
          <w:sz w:val="21"/>
          <w:szCs w:val="21"/>
        </w:rPr>
        <w:t xml:space="preserve">jurisprudencia de la Corte Suprema de EEUU (Caso </w:t>
      </w:r>
      <w:proofErr w:type="spellStart"/>
      <w:r w:rsidRPr="00C116A2">
        <w:rPr>
          <w:rFonts w:ascii="Arial" w:hAnsi="Arial" w:cs="Arial"/>
          <w:sz w:val="21"/>
          <w:szCs w:val="21"/>
        </w:rPr>
        <w:t>Cherokee</w:t>
      </w:r>
      <w:proofErr w:type="spellEnd"/>
      <w:r w:rsidRPr="00C116A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116A2">
        <w:rPr>
          <w:rFonts w:ascii="Arial" w:hAnsi="Arial" w:cs="Arial"/>
          <w:sz w:val="21"/>
          <w:szCs w:val="21"/>
        </w:rPr>
        <w:t>Tobacco</w:t>
      </w:r>
      <w:proofErr w:type="spellEnd"/>
      <w:r w:rsidRPr="00C116A2">
        <w:rPr>
          <w:rFonts w:ascii="Arial" w:hAnsi="Arial" w:cs="Arial"/>
          <w:sz w:val="21"/>
          <w:szCs w:val="21"/>
        </w:rPr>
        <w:t xml:space="preserve"> de 1870). Ley y</w:t>
      </w:r>
    </w:p>
    <w:p w14:paraId="7D4523FE" w14:textId="77777777" w:rsidR="00ED0E1A" w:rsidRPr="00C116A2" w:rsidRDefault="00ED0E1A" w:rsidP="00C116A2">
      <w:pPr>
        <w:pStyle w:val="p1"/>
        <w:jc w:val="both"/>
        <w:rPr>
          <w:rFonts w:ascii="Arial" w:hAnsi="Arial" w:cs="Arial"/>
          <w:sz w:val="21"/>
          <w:szCs w:val="21"/>
        </w:rPr>
      </w:pPr>
      <w:r w:rsidRPr="00C116A2">
        <w:rPr>
          <w:rFonts w:ascii="Arial" w:hAnsi="Arial" w:cs="Arial"/>
          <w:sz w:val="21"/>
          <w:szCs w:val="21"/>
        </w:rPr>
        <w:t>tratado tenían el mismo grado, y cuando versen sobre el mismo objeto se tratará de dar</w:t>
      </w:r>
    </w:p>
    <w:p w14:paraId="6082C0A8" w14:textId="77777777" w:rsidR="00ED0E1A" w:rsidRPr="00C116A2" w:rsidRDefault="00ED0E1A" w:rsidP="00C116A2">
      <w:pPr>
        <w:pStyle w:val="p1"/>
        <w:jc w:val="both"/>
        <w:rPr>
          <w:rFonts w:ascii="Arial" w:hAnsi="Arial" w:cs="Arial"/>
          <w:sz w:val="21"/>
          <w:szCs w:val="21"/>
        </w:rPr>
      </w:pPr>
      <w:r w:rsidRPr="00C116A2">
        <w:rPr>
          <w:rFonts w:ascii="Arial" w:hAnsi="Arial" w:cs="Arial"/>
          <w:sz w:val="21"/>
          <w:szCs w:val="21"/>
        </w:rPr>
        <w:t xml:space="preserve">efecto a ambos. Pero, si son incompatibles, el último en el tiempo prevalecerá sobre </w:t>
      </w:r>
      <w:proofErr w:type="spellStart"/>
      <w:r w:rsidRPr="00C116A2">
        <w:rPr>
          <w:rFonts w:ascii="Arial" w:hAnsi="Arial" w:cs="Arial"/>
          <w:sz w:val="21"/>
          <w:szCs w:val="21"/>
        </w:rPr>
        <w:t>elotro</w:t>
      </w:r>
      <w:proofErr w:type="spellEnd"/>
      <w:r w:rsidRPr="00C116A2">
        <w:rPr>
          <w:rFonts w:ascii="Arial" w:hAnsi="Arial" w:cs="Arial"/>
          <w:sz w:val="21"/>
          <w:szCs w:val="21"/>
        </w:rPr>
        <w:t>.</w:t>
      </w:r>
    </w:p>
    <w:p w14:paraId="1325D0C4" w14:textId="77777777" w:rsidR="00ED0E1A" w:rsidRPr="00C116A2" w:rsidRDefault="00ED0E1A" w:rsidP="00C116A2">
      <w:pPr>
        <w:pStyle w:val="p1"/>
        <w:jc w:val="both"/>
        <w:rPr>
          <w:rFonts w:ascii="Arial" w:hAnsi="Arial" w:cs="Arial"/>
          <w:sz w:val="21"/>
          <w:szCs w:val="21"/>
        </w:rPr>
      </w:pPr>
      <w:r w:rsidRPr="00C116A2">
        <w:rPr>
          <w:rFonts w:ascii="Arial" w:hAnsi="Arial" w:cs="Arial"/>
          <w:sz w:val="21"/>
          <w:szCs w:val="21"/>
        </w:rPr>
        <w:t>Esta postura, adoptada en nuestro derecho por los fallos de la CSJN, podían hacer que el</w:t>
      </w:r>
    </w:p>
    <w:p w14:paraId="2CC6999D" w14:textId="77777777" w:rsidR="00ED0E1A" w:rsidRPr="00C116A2" w:rsidRDefault="00ED0E1A" w:rsidP="00C116A2">
      <w:pPr>
        <w:pStyle w:val="p1"/>
        <w:jc w:val="both"/>
        <w:rPr>
          <w:rFonts w:ascii="Arial" w:hAnsi="Arial" w:cs="Arial"/>
          <w:sz w:val="21"/>
          <w:szCs w:val="21"/>
        </w:rPr>
      </w:pPr>
      <w:r w:rsidRPr="00C116A2">
        <w:rPr>
          <w:rFonts w:ascii="Arial" w:hAnsi="Arial" w:cs="Arial"/>
          <w:sz w:val="21"/>
          <w:szCs w:val="21"/>
        </w:rPr>
        <w:t>estado argentino hiciera prevalecer una disposición legal por sobre un tratado. Una ley,</w:t>
      </w:r>
    </w:p>
    <w:p w14:paraId="59FFEE88" w14:textId="77777777" w:rsidR="00ED0E1A" w:rsidRPr="00C116A2" w:rsidRDefault="00ED0E1A" w:rsidP="00C116A2">
      <w:pPr>
        <w:pStyle w:val="p1"/>
        <w:jc w:val="both"/>
        <w:rPr>
          <w:rFonts w:ascii="Arial" w:hAnsi="Arial" w:cs="Arial"/>
          <w:sz w:val="21"/>
          <w:szCs w:val="21"/>
        </w:rPr>
      </w:pPr>
      <w:r w:rsidRPr="00C116A2">
        <w:rPr>
          <w:rFonts w:ascii="Arial" w:hAnsi="Arial" w:cs="Arial"/>
          <w:sz w:val="21"/>
          <w:szCs w:val="21"/>
        </w:rPr>
        <w:t>norma unilateral de derecho interno, podía derogar una norma internacional, establecida</w:t>
      </w:r>
    </w:p>
    <w:p w14:paraId="4A6EB0B8" w14:textId="77777777" w:rsidR="00ED0E1A" w:rsidRPr="00C116A2" w:rsidRDefault="00ED0E1A" w:rsidP="00C116A2">
      <w:pPr>
        <w:pStyle w:val="p1"/>
        <w:jc w:val="both"/>
        <w:rPr>
          <w:rFonts w:ascii="Arial" w:hAnsi="Arial" w:cs="Arial"/>
          <w:sz w:val="21"/>
          <w:szCs w:val="21"/>
        </w:rPr>
      </w:pPr>
      <w:r w:rsidRPr="00C116A2">
        <w:rPr>
          <w:rFonts w:ascii="Arial" w:hAnsi="Arial" w:cs="Arial"/>
          <w:sz w:val="21"/>
          <w:szCs w:val="21"/>
        </w:rPr>
        <w:t>por la nación por un tratado bilateral o multilateral, celebrado con otros estados,</w:t>
      </w:r>
    </w:p>
    <w:p w14:paraId="137E7078" w14:textId="77777777" w:rsidR="00ED0E1A" w:rsidRPr="00C116A2" w:rsidRDefault="00ED0E1A" w:rsidP="00C116A2">
      <w:pPr>
        <w:pStyle w:val="p1"/>
        <w:jc w:val="both"/>
        <w:rPr>
          <w:rFonts w:ascii="Arial" w:hAnsi="Arial" w:cs="Arial"/>
          <w:sz w:val="21"/>
          <w:szCs w:val="21"/>
        </w:rPr>
      </w:pPr>
      <w:r w:rsidRPr="00C116A2">
        <w:rPr>
          <w:rFonts w:ascii="Arial" w:hAnsi="Arial" w:cs="Arial"/>
          <w:sz w:val="21"/>
          <w:szCs w:val="21"/>
        </w:rPr>
        <w:t xml:space="preserve">vulnerando el principio del “pacta sunt </w:t>
      </w:r>
      <w:proofErr w:type="spellStart"/>
      <w:r w:rsidRPr="00C116A2">
        <w:rPr>
          <w:rFonts w:ascii="Arial" w:hAnsi="Arial" w:cs="Arial"/>
          <w:sz w:val="21"/>
          <w:szCs w:val="21"/>
        </w:rPr>
        <w:t>servanda</w:t>
      </w:r>
      <w:proofErr w:type="spellEnd"/>
      <w:r w:rsidRPr="00C116A2">
        <w:rPr>
          <w:rFonts w:ascii="Arial" w:hAnsi="Arial" w:cs="Arial"/>
          <w:sz w:val="21"/>
          <w:szCs w:val="21"/>
        </w:rPr>
        <w:t>”, y pudiendo generar responsabilidad</w:t>
      </w:r>
    </w:p>
    <w:p w14:paraId="74AD551A" w14:textId="77777777" w:rsidR="00ED0E1A" w:rsidRPr="00C116A2" w:rsidRDefault="00ED0E1A" w:rsidP="00C116A2">
      <w:pPr>
        <w:pStyle w:val="p1"/>
        <w:jc w:val="both"/>
        <w:rPr>
          <w:rFonts w:ascii="Arial" w:hAnsi="Arial" w:cs="Arial"/>
        </w:rPr>
      </w:pPr>
      <w:r w:rsidRPr="00C116A2">
        <w:rPr>
          <w:rFonts w:ascii="Arial" w:hAnsi="Arial" w:cs="Arial"/>
          <w:sz w:val="21"/>
          <w:szCs w:val="21"/>
        </w:rPr>
        <w:t>para el estado argentino (frente a los otros celebrantes del tratado</w:t>
      </w:r>
      <w:r w:rsidRPr="00C116A2">
        <w:rPr>
          <w:rFonts w:ascii="Arial" w:hAnsi="Arial" w:cs="Arial"/>
        </w:rPr>
        <w:t>).</w:t>
      </w:r>
    </w:p>
    <w:p w14:paraId="6080D3A0" w14:textId="77777777" w:rsidR="00ED0E1A" w:rsidRPr="00C116A2" w:rsidRDefault="00ED0E1A" w:rsidP="00C116A2">
      <w:pPr>
        <w:jc w:val="both"/>
        <w:rPr>
          <w:rFonts w:ascii="Arial" w:hAnsi="Arial" w:cs="Arial"/>
          <w:sz w:val="28"/>
          <w:szCs w:val="28"/>
        </w:rPr>
      </w:pPr>
    </w:p>
    <w:p w14:paraId="0E624D92" w14:textId="77777777" w:rsidR="00FC2510" w:rsidRPr="00C116A2" w:rsidRDefault="00FC2510" w:rsidP="00C116A2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CDA6E27" w14:textId="77777777" w:rsidR="00FC2510" w:rsidRPr="00C116A2" w:rsidRDefault="00FC2510" w:rsidP="00C116A2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DEF8D63" w14:textId="6C46A2A4" w:rsidR="00ED0E1A" w:rsidRPr="00C116A2" w:rsidRDefault="00ED0E1A" w:rsidP="00C116A2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C116A2">
        <w:rPr>
          <w:rFonts w:ascii="Arial" w:hAnsi="Arial" w:cs="Arial"/>
          <w:b/>
          <w:bCs/>
          <w:sz w:val="28"/>
          <w:szCs w:val="28"/>
          <w:u w:val="single"/>
        </w:rPr>
        <w:t xml:space="preserve">Los tratados y el texto constitucional de 1994: </w:t>
      </w:r>
    </w:p>
    <w:p w14:paraId="21D62DCA" w14:textId="66028E97" w:rsidR="00FC2510" w:rsidRPr="00C116A2" w:rsidRDefault="00FC2510" w:rsidP="00C116A2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C116A2">
        <w:rPr>
          <w:rFonts w:ascii="Arial" w:hAnsi="Arial" w:cs="Arial"/>
          <w:b/>
          <w:bCs/>
          <w:sz w:val="28"/>
          <w:szCs w:val="28"/>
          <w:u w:val="single"/>
        </w:rPr>
        <w:t>La reforma constitucional sancionada en 1994.</w:t>
      </w:r>
    </w:p>
    <w:p w14:paraId="736F7470" w14:textId="6750194F" w:rsidR="00ED0E1A" w:rsidRPr="00C116A2" w:rsidRDefault="00ED0E1A" w:rsidP="00C116A2">
      <w:p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 xml:space="preserve">La evolución de la jurisprudencia fue receptada en la constitución nacional con las reformas que se le introdujeron. Las mismas han ubicado </w:t>
      </w:r>
      <w:r w:rsidR="00316F95" w:rsidRPr="00C116A2">
        <w:rPr>
          <w:rFonts w:ascii="Arial" w:hAnsi="Arial" w:cs="Arial"/>
          <w:sz w:val="28"/>
          <w:szCs w:val="28"/>
        </w:rPr>
        <w:t xml:space="preserve">al país en la tendencia hoy predominante, enrolada en un </w:t>
      </w:r>
      <w:r w:rsidR="00316F95" w:rsidRPr="00C116A2">
        <w:rPr>
          <w:rFonts w:ascii="Arial" w:hAnsi="Arial" w:cs="Arial"/>
          <w:b/>
          <w:bCs/>
          <w:sz w:val="28"/>
          <w:szCs w:val="28"/>
        </w:rPr>
        <w:t>monismo atenuado</w:t>
      </w:r>
      <w:r w:rsidR="00316F95" w:rsidRPr="00C116A2">
        <w:rPr>
          <w:rFonts w:ascii="Arial" w:hAnsi="Arial" w:cs="Arial"/>
          <w:sz w:val="28"/>
          <w:szCs w:val="28"/>
        </w:rPr>
        <w:t>, con predominio del derecho internacional en casos claramente determinados.</w:t>
      </w:r>
    </w:p>
    <w:p w14:paraId="04EE0CAC" w14:textId="2A1CC02A" w:rsidR="00316F95" w:rsidRPr="00C116A2" w:rsidRDefault="00316F95" w:rsidP="00C116A2">
      <w:p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>La constitución nacional hace clasificaciones. Todos los tratados son hoy ley suprema de la nación, según el artículo 31. Pero algunos tendrán jerarquía constitucional, y otros serán meramente supra legales (es decir, que están por encima de la ley, pero por debajo de la constitución).</w:t>
      </w:r>
    </w:p>
    <w:p w14:paraId="50DBD884" w14:textId="75FF3F44" w:rsidR="00316F95" w:rsidRPr="00C116A2" w:rsidRDefault="00316F95" w:rsidP="00C116A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 xml:space="preserve">Tienen </w:t>
      </w:r>
      <w:r w:rsidRPr="00C116A2">
        <w:rPr>
          <w:rFonts w:ascii="Arial" w:hAnsi="Arial" w:cs="Arial"/>
          <w:b/>
          <w:bCs/>
          <w:sz w:val="28"/>
          <w:szCs w:val="28"/>
        </w:rPr>
        <w:t>JERARQUIA CONSTITUCIONAL</w:t>
      </w:r>
      <w:r w:rsidRPr="00C116A2">
        <w:rPr>
          <w:rFonts w:ascii="Arial" w:hAnsi="Arial" w:cs="Arial"/>
          <w:sz w:val="28"/>
          <w:szCs w:val="28"/>
        </w:rPr>
        <w:t xml:space="preserve"> los instrumentos internacionales de DDHH, mencionados en el articulo 75 inc.22 (en la constitución nacional), y en los que en el futuro incluya el congreso con el voto de las 2/3 partes de los miembros totales de cada cámara (una vez aprobados como cualquier tratado). Hasta hoy se incorporaron tres nuevos instrumentos.</w:t>
      </w:r>
    </w:p>
    <w:p w14:paraId="3FEFCF57" w14:textId="5764E8D8" w:rsidR="00FC2510" w:rsidRPr="00C116A2" w:rsidRDefault="00316F95" w:rsidP="00C116A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b/>
          <w:bCs/>
          <w:sz w:val="28"/>
          <w:szCs w:val="28"/>
        </w:rPr>
        <w:t>Tratados por encima de la ley pero por debajo de la constitución</w:t>
      </w:r>
      <w:r w:rsidRPr="00C116A2">
        <w:rPr>
          <w:rFonts w:ascii="Arial" w:hAnsi="Arial" w:cs="Arial"/>
          <w:sz w:val="28"/>
          <w:szCs w:val="28"/>
        </w:rPr>
        <w:t xml:space="preserve">: Son todos los tratados internacionales, así como los concordatos celebrados con la Santa Sede de carácter ordinario. Todos ellos tienen calidad de supra legales, pero infra constitucionales, porque están sujetos a los principios de derecho público constitucionales según el artículo 27 de la CN. </w:t>
      </w:r>
    </w:p>
    <w:p w14:paraId="69EFFEFC" w14:textId="0EDF466B" w:rsidR="00FC2510" w:rsidRPr="00C116A2" w:rsidRDefault="00FC2510" w:rsidP="00C116A2">
      <w:p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>Tratados de derechos humanos con jerarquía constitucional enumerados en la constitución nacional: En el artículo 74 inc.22 menciona a los siguientes:</w:t>
      </w:r>
    </w:p>
    <w:p w14:paraId="7930F315" w14:textId="3B3A8186" w:rsidR="00FC2510" w:rsidRPr="00C116A2" w:rsidRDefault="00FC2510" w:rsidP="00C116A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>La convención Americana sobre Derechos Humanos</w:t>
      </w:r>
    </w:p>
    <w:p w14:paraId="49E26723" w14:textId="10704424" w:rsidR="00FC2510" w:rsidRPr="00C116A2" w:rsidRDefault="00FC2510" w:rsidP="00C116A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>El pacto internacional de derechos Civiles y Políticos y su protocolo facultativo</w:t>
      </w:r>
    </w:p>
    <w:p w14:paraId="27870AC9" w14:textId="2403A38C" w:rsidR="00FC2510" w:rsidRPr="00C116A2" w:rsidRDefault="00FC2510" w:rsidP="00C116A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lastRenderedPageBreak/>
        <w:t>El pacto internacional de derechos Económicos, sociales y culturales</w:t>
      </w:r>
    </w:p>
    <w:p w14:paraId="0F4CF55C" w14:textId="1D1CE22F" w:rsidR="00FC2510" w:rsidRPr="00C116A2" w:rsidRDefault="00FC2510" w:rsidP="00C116A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>La convención sobre la prevención y sanción del delito de Genocidio.</w:t>
      </w:r>
    </w:p>
    <w:p w14:paraId="2C26299A" w14:textId="115B1E77" w:rsidR="00FC2510" w:rsidRPr="00C116A2" w:rsidRDefault="00FC2510" w:rsidP="00C116A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>La convención sobre la eliminación de todas las formas de discriminación racial.</w:t>
      </w:r>
    </w:p>
    <w:p w14:paraId="437C3A4F" w14:textId="5CECF079" w:rsidR="00FC2510" w:rsidRPr="00C116A2" w:rsidRDefault="00FC2510" w:rsidP="00C116A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>La convención sobre la eliminación de todas las formas de discriminación contra la mujer.</w:t>
      </w:r>
    </w:p>
    <w:p w14:paraId="04B88253" w14:textId="2401B0A8" w:rsidR="00FC2510" w:rsidRPr="00C116A2" w:rsidRDefault="00FC2510" w:rsidP="00C116A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>La convención contra la tortura y otros tratos o penas crueles, inhumanas o degradantes.</w:t>
      </w:r>
    </w:p>
    <w:p w14:paraId="6B999A91" w14:textId="269D33B7" w:rsidR="00FC2510" w:rsidRPr="00C116A2" w:rsidRDefault="00FC2510" w:rsidP="00C116A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>La convención sobre los derechos del niño.</w:t>
      </w:r>
    </w:p>
    <w:p w14:paraId="5D473616" w14:textId="70FA633F" w:rsidR="00FC2510" w:rsidRPr="00C116A2" w:rsidRDefault="00FC2510" w:rsidP="00C116A2">
      <w:p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>Tratados de derechos humanos con jerarquía constitucional no enumerados en la constitución nacional:</w:t>
      </w:r>
    </w:p>
    <w:p w14:paraId="31D4A150" w14:textId="2D7FA15D" w:rsidR="00FC2510" w:rsidRPr="00C116A2" w:rsidRDefault="00FC2510" w:rsidP="00C116A2">
      <w:p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 xml:space="preserve">El </w:t>
      </w:r>
      <w:r w:rsidR="00C116A2" w:rsidRPr="00C116A2">
        <w:rPr>
          <w:rFonts w:ascii="Arial" w:hAnsi="Arial" w:cs="Arial"/>
          <w:sz w:val="28"/>
          <w:szCs w:val="28"/>
        </w:rPr>
        <w:t>último</w:t>
      </w:r>
      <w:r w:rsidRPr="00C116A2">
        <w:rPr>
          <w:rFonts w:ascii="Arial" w:hAnsi="Arial" w:cs="Arial"/>
          <w:sz w:val="28"/>
          <w:szCs w:val="28"/>
        </w:rPr>
        <w:t xml:space="preserve"> párrafo del </w:t>
      </w:r>
      <w:r w:rsidR="00C116A2" w:rsidRPr="00C116A2">
        <w:rPr>
          <w:rFonts w:ascii="Arial" w:hAnsi="Arial" w:cs="Arial"/>
          <w:sz w:val="28"/>
          <w:szCs w:val="28"/>
        </w:rPr>
        <w:t>artículo</w:t>
      </w:r>
      <w:r w:rsidRPr="00C116A2">
        <w:rPr>
          <w:rFonts w:ascii="Arial" w:hAnsi="Arial" w:cs="Arial"/>
          <w:sz w:val="28"/>
          <w:szCs w:val="28"/>
        </w:rPr>
        <w:t xml:space="preserve"> 75 inc.22 – como ya mencionamos- contempla la posibilidad que otros tratados sobre derechos humanos luego de ser</w:t>
      </w:r>
      <w:r w:rsidR="00C116A2" w:rsidRPr="00C116A2">
        <w:rPr>
          <w:rFonts w:ascii="Arial" w:hAnsi="Arial" w:cs="Arial"/>
          <w:sz w:val="28"/>
          <w:szCs w:val="28"/>
        </w:rPr>
        <w:t xml:space="preserve"> aprobados por el congreso obtengan jerarquía constitucional requiriéndose para ello el voto de las dos terceras partes de la totalidad de los miembros de cada cámara.</w:t>
      </w:r>
    </w:p>
    <w:p w14:paraId="418FD614" w14:textId="528C5472" w:rsidR="00C116A2" w:rsidRPr="00C116A2" w:rsidRDefault="00C116A2" w:rsidP="00C116A2">
      <w:p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>De este modo, obtuvieron jerarquía constitucional, los siguientes tratados:</w:t>
      </w:r>
    </w:p>
    <w:p w14:paraId="002155CB" w14:textId="12C8A87E" w:rsidR="00C116A2" w:rsidRPr="00C116A2" w:rsidRDefault="00C116A2" w:rsidP="00C116A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>La convención Americana sobre desaparición forzada de Personas (ley 24.556) del año 1995.</w:t>
      </w:r>
    </w:p>
    <w:p w14:paraId="64ED67A1" w14:textId="20771649" w:rsidR="00C116A2" w:rsidRPr="00C116A2" w:rsidRDefault="00C116A2" w:rsidP="00C116A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>La convención sobre la imprescriptibilidad de los crímenes de guerra y de lesa humanidad (ley 24.584) del año 1995.</w:t>
      </w:r>
    </w:p>
    <w:p w14:paraId="0D3EBAC2" w14:textId="5B211102" w:rsidR="00C116A2" w:rsidRPr="00C116A2" w:rsidRDefault="00C116A2" w:rsidP="00C116A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>La convención sobre los derechos de las personas con discapacidad (ley 26.387) del año 2008.</w:t>
      </w:r>
    </w:p>
    <w:p w14:paraId="08A62CA0" w14:textId="31E23817" w:rsidR="00C116A2" w:rsidRPr="00C116A2" w:rsidRDefault="00C116A2" w:rsidP="00C116A2">
      <w:p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>Las facultades internacionales de las provincias de acuerdo a la reforma constitucional de 1994.</w:t>
      </w:r>
    </w:p>
    <w:p w14:paraId="4F4F7A14" w14:textId="7D753444" w:rsidR="00C116A2" w:rsidRPr="00C116A2" w:rsidRDefault="00C116A2" w:rsidP="00C116A2">
      <w:pPr>
        <w:jc w:val="both"/>
        <w:rPr>
          <w:rFonts w:ascii="Arial" w:hAnsi="Arial" w:cs="Arial"/>
          <w:sz w:val="28"/>
          <w:szCs w:val="28"/>
        </w:rPr>
      </w:pPr>
      <w:r w:rsidRPr="00C116A2">
        <w:rPr>
          <w:rFonts w:ascii="Arial" w:hAnsi="Arial" w:cs="Arial"/>
          <w:sz w:val="28"/>
          <w:szCs w:val="28"/>
        </w:rPr>
        <w:t>El articulo 124 establece que las provincias pueden también celebrar convenios internacionales en tanto no sean incompatibles con la política exterior de la nación, no afecten facultades delegadas al gobierno Federal, y tampoco al crédito público de la nación.</w:t>
      </w:r>
    </w:p>
    <w:p w14:paraId="473C1F2D" w14:textId="332CD522" w:rsidR="00C116A2" w:rsidRPr="00C116A2" w:rsidRDefault="00C116A2" w:rsidP="00C116A2">
      <w:pPr>
        <w:jc w:val="both"/>
        <w:rPr>
          <w:rFonts w:ascii="Arial" w:hAnsi="Arial" w:cs="Arial"/>
          <w:sz w:val="28"/>
          <w:szCs w:val="28"/>
        </w:rPr>
      </w:pPr>
    </w:p>
    <w:sectPr w:rsidR="00C116A2" w:rsidRPr="00C116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B4774"/>
    <w:multiLevelType w:val="hybridMultilevel"/>
    <w:tmpl w:val="38E40404"/>
    <w:lvl w:ilvl="0" w:tplc="4AB0A38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354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9F"/>
    <w:rsid w:val="00316F95"/>
    <w:rsid w:val="00AD179F"/>
    <w:rsid w:val="00BB3B00"/>
    <w:rsid w:val="00C116A2"/>
    <w:rsid w:val="00ED0E1A"/>
    <w:rsid w:val="00FC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B52D0D"/>
  <w15:chartTrackingRefBased/>
  <w15:docId w15:val="{9E3329CB-6CF4-294E-884E-626AE7366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D1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1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17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1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17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1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1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1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1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D17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17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D17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17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179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17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179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17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17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D1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D1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1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D1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D1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D179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D179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D179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1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179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D179F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ED0E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1112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2026-06-10T15:00:00Z</dcterms:created>
  <dcterms:modified xsi:type="dcterms:W3CDTF">2026-06-10T20:50:00Z</dcterms:modified>
</cp:coreProperties>
</file>