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AFBDE5" w14:textId="319E1AB5" w:rsidR="005B4F5B" w:rsidRDefault="00FD3F2B" w:rsidP="00FD3F2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INSTITUTO SUPERIOR I.F </w:t>
      </w:r>
    </w:p>
    <w:p w14:paraId="19735139" w14:textId="3970CA7E" w:rsidR="00FD3F2B" w:rsidRDefault="00FD61DC" w:rsidP="00FD3F2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CATEDRA: CRIMINALISTICA DE CAMPO II</w:t>
      </w:r>
    </w:p>
    <w:p w14:paraId="37152568" w14:textId="0EF274DE" w:rsidR="00FD61DC" w:rsidRDefault="00FD61DC" w:rsidP="00FD3F2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PROGRAMA ANALITICO </w:t>
      </w:r>
    </w:p>
    <w:p w14:paraId="067A16E2" w14:textId="0A0DE6DC" w:rsidR="00FD61DC" w:rsidRDefault="00FD61DC" w:rsidP="00FD3F2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AÑO 2025 </w:t>
      </w:r>
    </w:p>
    <w:p w14:paraId="525E40E4" w14:textId="04EC42CC" w:rsidR="00FD61DC" w:rsidRDefault="00FD61DC" w:rsidP="00FD3F2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FBD5EDE" w14:textId="77777777" w:rsidR="00FD61DC" w:rsidRPr="00FD61DC" w:rsidRDefault="00FD61DC" w:rsidP="00FD61DC">
      <w:pPr>
        <w:jc w:val="both"/>
        <w:rPr>
          <w:rFonts w:ascii="Times New Roman" w:eastAsia="Arial" w:hAnsi="Times New Roman" w:cs="Times New Roman"/>
          <w:b/>
          <w:bCs/>
          <w:sz w:val="24"/>
          <w:szCs w:val="24"/>
        </w:rPr>
      </w:pPr>
      <w:r w:rsidRPr="00FD61DC">
        <w:rPr>
          <w:rFonts w:ascii="Times New Roman" w:eastAsia="Arial" w:hAnsi="Times New Roman" w:cs="Times New Roman"/>
          <w:b/>
          <w:bCs/>
          <w:sz w:val="24"/>
          <w:szCs w:val="24"/>
        </w:rPr>
        <w:t>Unidad 1: Criminalística de Campo y Escena del Crimen</w:t>
      </w:r>
    </w:p>
    <w:p w14:paraId="4EED55DF" w14:textId="77777777" w:rsidR="00FD61DC" w:rsidRPr="00FD61DC" w:rsidRDefault="00FD61DC" w:rsidP="00FD61DC">
      <w:pPr>
        <w:jc w:val="both"/>
        <w:rPr>
          <w:rFonts w:ascii="Times New Roman" w:eastAsia="Arial" w:hAnsi="Times New Roman" w:cs="Times New Roman"/>
          <w:sz w:val="24"/>
          <w:szCs w:val="24"/>
        </w:rPr>
      </w:pPr>
      <w:r w:rsidRPr="00FD61DC">
        <w:rPr>
          <w:rFonts w:ascii="Times New Roman" w:eastAsia="Arial" w:hAnsi="Times New Roman" w:cs="Times New Roman"/>
          <w:sz w:val="24"/>
          <w:szCs w:val="24"/>
        </w:rPr>
        <w:t>Concepto y objeto de la Criminalística de Campo.</w:t>
      </w:r>
    </w:p>
    <w:p w14:paraId="02042328" w14:textId="77777777" w:rsidR="00FD61DC" w:rsidRPr="00FD61DC" w:rsidRDefault="00FD61DC" w:rsidP="00FD61DC">
      <w:pPr>
        <w:jc w:val="both"/>
        <w:rPr>
          <w:rFonts w:ascii="Times New Roman" w:eastAsia="Arial" w:hAnsi="Times New Roman" w:cs="Times New Roman"/>
          <w:sz w:val="24"/>
          <w:szCs w:val="24"/>
        </w:rPr>
      </w:pPr>
      <w:r w:rsidRPr="00FD61DC">
        <w:rPr>
          <w:rFonts w:ascii="Times New Roman" w:eastAsia="Arial" w:hAnsi="Times New Roman" w:cs="Times New Roman"/>
          <w:sz w:val="24"/>
          <w:szCs w:val="24"/>
        </w:rPr>
        <w:t>La escena del crimen: definición, tipos y características.</w:t>
      </w:r>
    </w:p>
    <w:p w14:paraId="73C57285" w14:textId="77777777" w:rsidR="00FD61DC" w:rsidRPr="00FD61DC" w:rsidRDefault="00FD61DC" w:rsidP="00FD61DC">
      <w:pPr>
        <w:jc w:val="both"/>
        <w:rPr>
          <w:rFonts w:ascii="Times New Roman" w:eastAsia="Arial" w:hAnsi="Times New Roman" w:cs="Times New Roman"/>
          <w:sz w:val="24"/>
          <w:szCs w:val="24"/>
        </w:rPr>
      </w:pPr>
      <w:r w:rsidRPr="00FD61DC">
        <w:rPr>
          <w:rFonts w:ascii="Times New Roman" w:eastAsia="Arial" w:hAnsi="Times New Roman" w:cs="Times New Roman"/>
          <w:sz w:val="24"/>
          <w:szCs w:val="24"/>
        </w:rPr>
        <w:t>Escena primaria y secundaria.</w:t>
      </w:r>
    </w:p>
    <w:p w14:paraId="78C752F9" w14:textId="77777777" w:rsidR="00FD61DC" w:rsidRPr="00FD61DC" w:rsidRDefault="00FD61DC" w:rsidP="00FD61DC">
      <w:pPr>
        <w:jc w:val="both"/>
        <w:rPr>
          <w:rFonts w:ascii="Times New Roman" w:eastAsia="Arial" w:hAnsi="Times New Roman" w:cs="Times New Roman"/>
          <w:sz w:val="24"/>
          <w:szCs w:val="24"/>
        </w:rPr>
      </w:pPr>
      <w:r w:rsidRPr="00FD61DC">
        <w:rPr>
          <w:rFonts w:ascii="Times New Roman" w:eastAsia="Arial" w:hAnsi="Times New Roman" w:cs="Times New Roman"/>
          <w:sz w:val="24"/>
          <w:szCs w:val="24"/>
        </w:rPr>
        <w:t>Preservación del lugar del hecho.</w:t>
      </w:r>
    </w:p>
    <w:p w14:paraId="11C71891" w14:textId="77777777" w:rsidR="00FD61DC" w:rsidRPr="00FD61DC" w:rsidRDefault="00FD61DC" w:rsidP="00FD61DC">
      <w:pPr>
        <w:jc w:val="both"/>
        <w:rPr>
          <w:rFonts w:ascii="Times New Roman" w:eastAsia="Arial" w:hAnsi="Times New Roman" w:cs="Times New Roman"/>
          <w:sz w:val="24"/>
          <w:szCs w:val="24"/>
        </w:rPr>
      </w:pPr>
      <w:r w:rsidRPr="00FD61DC">
        <w:rPr>
          <w:rFonts w:ascii="Times New Roman" w:eastAsia="Arial" w:hAnsi="Times New Roman" w:cs="Times New Roman"/>
          <w:sz w:val="24"/>
          <w:szCs w:val="24"/>
        </w:rPr>
        <w:t>Rol del primer interviniente.</w:t>
      </w:r>
    </w:p>
    <w:p w14:paraId="1E061AC4" w14:textId="77777777" w:rsidR="00FD61DC" w:rsidRPr="00FD61DC" w:rsidRDefault="00FD61DC" w:rsidP="00FD61DC">
      <w:pPr>
        <w:jc w:val="both"/>
        <w:rPr>
          <w:rFonts w:ascii="Times New Roman" w:eastAsia="Arial" w:hAnsi="Times New Roman" w:cs="Times New Roman"/>
          <w:b/>
          <w:bCs/>
          <w:sz w:val="24"/>
          <w:szCs w:val="24"/>
        </w:rPr>
      </w:pPr>
      <w:r w:rsidRPr="00FD61DC">
        <w:rPr>
          <w:rFonts w:ascii="Times New Roman" w:eastAsia="Arial" w:hAnsi="Times New Roman" w:cs="Times New Roman"/>
          <w:b/>
          <w:bCs/>
          <w:sz w:val="24"/>
          <w:szCs w:val="24"/>
        </w:rPr>
        <w:t>Unidad 2: Observación metódica y evidencia física</w:t>
      </w:r>
    </w:p>
    <w:p w14:paraId="6B3D8B7F" w14:textId="77777777" w:rsidR="00FD61DC" w:rsidRPr="00FD61DC" w:rsidRDefault="00FD61DC" w:rsidP="00FD61DC">
      <w:pPr>
        <w:jc w:val="both"/>
        <w:rPr>
          <w:rFonts w:ascii="Times New Roman" w:eastAsia="Arial" w:hAnsi="Times New Roman" w:cs="Times New Roman"/>
          <w:sz w:val="24"/>
          <w:szCs w:val="24"/>
        </w:rPr>
      </w:pPr>
      <w:r w:rsidRPr="00FD61DC">
        <w:rPr>
          <w:rFonts w:ascii="Times New Roman" w:eastAsia="Arial" w:hAnsi="Times New Roman" w:cs="Times New Roman"/>
          <w:sz w:val="24"/>
          <w:szCs w:val="24"/>
        </w:rPr>
        <w:t>Observación sistemática y objetiva.</w:t>
      </w:r>
    </w:p>
    <w:p w14:paraId="331D6D1E" w14:textId="77777777" w:rsidR="00FD61DC" w:rsidRPr="00FD61DC" w:rsidRDefault="00FD61DC" w:rsidP="00FD61DC">
      <w:pPr>
        <w:jc w:val="both"/>
        <w:rPr>
          <w:rFonts w:ascii="Times New Roman" w:eastAsia="Arial" w:hAnsi="Times New Roman" w:cs="Times New Roman"/>
          <w:sz w:val="24"/>
          <w:szCs w:val="24"/>
        </w:rPr>
      </w:pPr>
      <w:r w:rsidRPr="00FD61DC">
        <w:rPr>
          <w:rFonts w:ascii="Times New Roman" w:eastAsia="Arial" w:hAnsi="Times New Roman" w:cs="Times New Roman"/>
          <w:sz w:val="24"/>
          <w:szCs w:val="24"/>
        </w:rPr>
        <w:t>Evidencia física, indicio y prueba.</w:t>
      </w:r>
    </w:p>
    <w:p w14:paraId="0AEFD39F" w14:textId="77777777" w:rsidR="00FD61DC" w:rsidRPr="00FD61DC" w:rsidRDefault="00FD61DC" w:rsidP="00FD61DC">
      <w:pPr>
        <w:jc w:val="both"/>
        <w:rPr>
          <w:rFonts w:ascii="Times New Roman" w:eastAsia="Arial" w:hAnsi="Times New Roman" w:cs="Times New Roman"/>
          <w:sz w:val="24"/>
          <w:szCs w:val="24"/>
        </w:rPr>
      </w:pPr>
      <w:r w:rsidRPr="00FD61DC">
        <w:rPr>
          <w:rFonts w:ascii="Times New Roman" w:eastAsia="Arial" w:hAnsi="Times New Roman" w:cs="Times New Roman"/>
          <w:sz w:val="24"/>
          <w:szCs w:val="24"/>
        </w:rPr>
        <w:t>Clasificación de la evidencia.</w:t>
      </w:r>
    </w:p>
    <w:p w14:paraId="2D962553" w14:textId="77777777" w:rsidR="00FD61DC" w:rsidRPr="00FD61DC" w:rsidRDefault="00FD61DC" w:rsidP="00FD61DC">
      <w:pPr>
        <w:jc w:val="both"/>
        <w:rPr>
          <w:rFonts w:ascii="Times New Roman" w:eastAsia="Arial" w:hAnsi="Times New Roman" w:cs="Times New Roman"/>
          <w:sz w:val="24"/>
          <w:szCs w:val="24"/>
        </w:rPr>
      </w:pPr>
      <w:r w:rsidRPr="00FD61DC">
        <w:rPr>
          <w:rFonts w:ascii="Times New Roman" w:eastAsia="Arial" w:hAnsi="Times New Roman" w:cs="Times New Roman"/>
          <w:sz w:val="24"/>
          <w:szCs w:val="24"/>
        </w:rPr>
        <w:t>Errores frecuentes en la observación del lugar del hecho.</w:t>
      </w:r>
    </w:p>
    <w:p w14:paraId="74229B38" w14:textId="77777777" w:rsidR="00FD61DC" w:rsidRPr="00FD61DC" w:rsidRDefault="00FD61DC" w:rsidP="00FD61DC">
      <w:pPr>
        <w:jc w:val="both"/>
        <w:rPr>
          <w:rFonts w:ascii="Times New Roman" w:eastAsia="Arial" w:hAnsi="Times New Roman" w:cs="Times New Roman"/>
          <w:b/>
          <w:bCs/>
          <w:sz w:val="24"/>
          <w:szCs w:val="24"/>
        </w:rPr>
      </w:pPr>
      <w:r w:rsidRPr="00FD61DC">
        <w:rPr>
          <w:rFonts w:ascii="Times New Roman" w:eastAsia="Arial" w:hAnsi="Times New Roman" w:cs="Times New Roman"/>
          <w:b/>
          <w:bCs/>
          <w:sz w:val="24"/>
          <w:szCs w:val="24"/>
        </w:rPr>
        <w:t>Unidad 3: Fijación del lugar del hecho</w:t>
      </w:r>
    </w:p>
    <w:p w14:paraId="6EA9AAC7" w14:textId="77777777" w:rsidR="00FD61DC" w:rsidRPr="00FD61DC" w:rsidRDefault="00FD61DC" w:rsidP="00FD61DC">
      <w:pPr>
        <w:jc w:val="both"/>
        <w:rPr>
          <w:rFonts w:ascii="Times New Roman" w:eastAsia="Arial" w:hAnsi="Times New Roman" w:cs="Times New Roman"/>
          <w:sz w:val="24"/>
          <w:szCs w:val="24"/>
        </w:rPr>
      </w:pPr>
      <w:r w:rsidRPr="00FD61DC">
        <w:rPr>
          <w:rFonts w:ascii="Times New Roman" w:eastAsia="Arial" w:hAnsi="Times New Roman" w:cs="Times New Roman"/>
          <w:sz w:val="24"/>
          <w:szCs w:val="24"/>
        </w:rPr>
        <w:t>Descripción escrita: criterios de claridad, precisión y objetividad.</w:t>
      </w:r>
    </w:p>
    <w:p w14:paraId="7E0982CF" w14:textId="77777777" w:rsidR="00FD61DC" w:rsidRPr="00FD61DC" w:rsidRDefault="00FD61DC" w:rsidP="00FD61DC">
      <w:pPr>
        <w:jc w:val="both"/>
        <w:rPr>
          <w:rFonts w:ascii="Times New Roman" w:eastAsia="Arial" w:hAnsi="Times New Roman" w:cs="Times New Roman"/>
          <w:sz w:val="24"/>
          <w:szCs w:val="24"/>
        </w:rPr>
      </w:pPr>
      <w:r w:rsidRPr="00FD61DC">
        <w:rPr>
          <w:rFonts w:ascii="Times New Roman" w:eastAsia="Arial" w:hAnsi="Times New Roman" w:cs="Times New Roman"/>
          <w:sz w:val="24"/>
          <w:szCs w:val="24"/>
        </w:rPr>
        <w:t>Croquis y planimetría básica.</w:t>
      </w:r>
    </w:p>
    <w:p w14:paraId="4DEC3C67" w14:textId="77777777" w:rsidR="00FD61DC" w:rsidRPr="00FD61DC" w:rsidRDefault="00FD61DC" w:rsidP="00FD61DC">
      <w:pPr>
        <w:jc w:val="both"/>
        <w:rPr>
          <w:rFonts w:ascii="Times New Roman" w:eastAsia="Arial" w:hAnsi="Times New Roman" w:cs="Times New Roman"/>
          <w:sz w:val="24"/>
          <w:szCs w:val="24"/>
        </w:rPr>
      </w:pPr>
      <w:r w:rsidRPr="00FD61DC">
        <w:rPr>
          <w:rFonts w:ascii="Times New Roman" w:eastAsia="Arial" w:hAnsi="Times New Roman" w:cs="Times New Roman"/>
          <w:sz w:val="24"/>
          <w:szCs w:val="24"/>
        </w:rPr>
        <w:t>Fotografía forense: tipos, técnicas y valor probatorio.</w:t>
      </w:r>
    </w:p>
    <w:p w14:paraId="7AD62956" w14:textId="77777777" w:rsidR="00FD61DC" w:rsidRPr="00FD61DC" w:rsidRDefault="00FD61DC" w:rsidP="00FD61DC">
      <w:pPr>
        <w:jc w:val="both"/>
        <w:rPr>
          <w:rFonts w:ascii="Times New Roman" w:eastAsia="Arial" w:hAnsi="Times New Roman" w:cs="Times New Roman"/>
          <w:sz w:val="24"/>
          <w:szCs w:val="24"/>
        </w:rPr>
      </w:pPr>
      <w:r w:rsidRPr="00FD61DC">
        <w:rPr>
          <w:rFonts w:ascii="Times New Roman" w:eastAsia="Arial" w:hAnsi="Times New Roman" w:cs="Times New Roman"/>
          <w:sz w:val="24"/>
          <w:szCs w:val="24"/>
        </w:rPr>
        <w:t>Integración de los métodos de fijación.</w:t>
      </w:r>
    </w:p>
    <w:p w14:paraId="04FCB3FE" w14:textId="77777777" w:rsidR="00FD61DC" w:rsidRPr="00FD61DC" w:rsidRDefault="00FD61DC" w:rsidP="00FD61DC">
      <w:pPr>
        <w:jc w:val="both"/>
        <w:rPr>
          <w:rFonts w:ascii="Times New Roman" w:eastAsia="Arial" w:hAnsi="Times New Roman" w:cs="Times New Roman"/>
          <w:b/>
          <w:bCs/>
          <w:sz w:val="24"/>
          <w:szCs w:val="24"/>
        </w:rPr>
      </w:pPr>
      <w:r w:rsidRPr="00FD61DC">
        <w:rPr>
          <w:rFonts w:ascii="Times New Roman" w:eastAsia="Arial" w:hAnsi="Times New Roman" w:cs="Times New Roman"/>
          <w:b/>
          <w:bCs/>
          <w:sz w:val="24"/>
          <w:szCs w:val="24"/>
        </w:rPr>
        <w:t>Unidad 4: Recolección y conservación de indicios</w:t>
      </w:r>
    </w:p>
    <w:p w14:paraId="6D91D28A" w14:textId="77777777" w:rsidR="00FD61DC" w:rsidRPr="00FD61DC" w:rsidRDefault="00FD61DC" w:rsidP="00FD61DC">
      <w:pPr>
        <w:jc w:val="both"/>
        <w:rPr>
          <w:rFonts w:ascii="Times New Roman" w:eastAsia="Arial" w:hAnsi="Times New Roman" w:cs="Times New Roman"/>
          <w:sz w:val="24"/>
          <w:szCs w:val="24"/>
        </w:rPr>
      </w:pPr>
      <w:r w:rsidRPr="00FD61DC">
        <w:rPr>
          <w:rFonts w:ascii="Times New Roman" w:eastAsia="Arial" w:hAnsi="Times New Roman" w:cs="Times New Roman"/>
          <w:sz w:val="24"/>
          <w:szCs w:val="24"/>
        </w:rPr>
        <w:t>Técnicas de levantamiento de evidencia.</w:t>
      </w:r>
    </w:p>
    <w:p w14:paraId="0E46EBFA" w14:textId="77777777" w:rsidR="00FD61DC" w:rsidRPr="00FD61DC" w:rsidRDefault="00FD61DC" w:rsidP="00FD61DC">
      <w:pPr>
        <w:jc w:val="both"/>
        <w:rPr>
          <w:rFonts w:ascii="Times New Roman" w:eastAsia="Arial" w:hAnsi="Times New Roman" w:cs="Times New Roman"/>
          <w:sz w:val="24"/>
          <w:szCs w:val="24"/>
        </w:rPr>
      </w:pPr>
      <w:r w:rsidRPr="00FD61DC">
        <w:rPr>
          <w:rFonts w:ascii="Times New Roman" w:eastAsia="Arial" w:hAnsi="Times New Roman" w:cs="Times New Roman"/>
          <w:sz w:val="24"/>
          <w:szCs w:val="24"/>
        </w:rPr>
        <w:t>Embalaje, rotulado y conservación según el tipo de indicio.</w:t>
      </w:r>
    </w:p>
    <w:p w14:paraId="51D78267" w14:textId="77777777" w:rsidR="00FD61DC" w:rsidRPr="00FD61DC" w:rsidRDefault="00FD61DC" w:rsidP="00FD61DC">
      <w:pPr>
        <w:jc w:val="both"/>
        <w:rPr>
          <w:rFonts w:ascii="Times New Roman" w:eastAsia="Arial" w:hAnsi="Times New Roman" w:cs="Times New Roman"/>
          <w:sz w:val="24"/>
          <w:szCs w:val="24"/>
        </w:rPr>
      </w:pPr>
      <w:r w:rsidRPr="00FD61DC">
        <w:rPr>
          <w:rFonts w:ascii="Times New Roman" w:eastAsia="Arial" w:hAnsi="Times New Roman" w:cs="Times New Roman"/>
          <w:sz w:val="24"/>
          <w:szCs w:val="24"/>
        </w:rPr>
        <w:t>Suministro al laboratorio forense.</w:t>
      </w:r>
    </w:p>
    <w:p w14:paraId="53B2862E" w14:textId="77777777" w:rsidR="00FD61DC" w:rsidRPr="00FD61DC" w:rsidRDefault="00FD61DC" w:rsidP="00FD61DC">
      <w:pPr>
        <w:jc w:val="both"/>
        <w:rPr>
          <w:rFonts w:ascii="Times New Roman" w:eastAsia="Arial" w:hAnsi="Times New Roman" w:cs="Times New Roman"/>
          <w:sz w:val="24"/>
          <w:szCs w:val="24"/>
        </w:rPr>
      </w:pPr>
      <w:r w:rsidRPr="00FD61DC">
        <w:rPr>
          <w:rFonts w:ascii="Times New Roman" w:eastAsia="Arial" w:hAnsi="Times New Roman" w:cs="Times New Roman"/>
          <w:sz w:val="24"/>
          <w:szCs w:val="24"/>
        </w:rPr>
        <w:t>Recaudos técnicos y legales.</w:t>
      </w:r>
    </w:p>
    <w:p w14:paraId="02D2679C" w14:textId="77777777" w:rsidR="00FD61DC" w:rsidRPr="00FD61DC" w:rsidRDefault="00FD61DC" w:rsidP="00FD61DC">
      <w:pPr>
        <w:jc w:val="both"/>
        <w:rPr>
          <w:rFonts w:ascii="Times New Roman" w:eastAsia="Arial" w:hAnsi="Times New Roman" w:cs="Times New Roman"/>
          <w:b/>
          <w:bCs/>
          <w:sz w:val="24"/>
          <w:szCs w:val="24"/>
        </w:rPr>
      </w:pPr>
    </w:p>
    <w:p w14:paraId="5CDD776E" w14:textId="77777777" w:rsidR="00FD61DC" w:rsidRPr="00FD61DC" w:rsidRDefault="00FD61DC" w:rsidP="00FD61DC">
      <w:pPr>
        <w:jc w:val="both"/>
        <w:rPr>
          <w:rFonts w:ascii="Times New Roman" w:eastAsia="Arial" w:hAnsi="Times New Roman" w:cs="Times New Roman"/>
          <w:b/>
          <w:bCs/>
          <w:sz w:val="24"/>
          <w:szCs w:val="24"/>
        </w:rPr>
      </w:pPr>
      <w:r w:rsidRPr="00FD61DC">
        <w:rPr>
          <w:rFonts w:ascii="Times New Roman" w:eastAsia="Arial" w:hAnsi="Times New Roman" w:cs="Times New Roman"/>
          <w:b/>
          <w:bCs/>
          <w:sz w:val="24"/>
          <w:szCs w:val="24"/>
        </w:rPr>
        <w:lastRenderedPageBreak/>
        <w:t>Unidad 5: Cadena de custodia</w:t>
      </w:r>
    </w:p>
    <w:p w14:paraId="373B93CD" w14:textId="77777777" w:rsidR="00FD61DC" w:rsidRPr="00FD61DC" w:rsidRDefault="00FD61DC" w:rsidP="00FD61DC">
      <w:pPr>
        <w:jc w:val="both"/>
        <w:rPr>
          <w:rFonts w:ascii="Times New Roman" w:eastAsia="Arial" w:hAnsi="Times New Roman" w:cs="Times New Roman"/>
          <w:sz w:val="24"/>
          <w:szCs w:val="24"/>
        </w:rPr>
      </w:pPr>
      <w:r w:rsidRPr="00FD61DC">
        <w:rPr>
          <w:rFonts w:ascii="Times New Roman" w:eastAsia="Arial" w:hAnsi="Times New Roman" w:cs="Times New Roman"/>
          <w:sz w:val="24"/>
          <w:szCs w:val="24"/>
        </w:rPr>
        <w:t>Concepto, finalidad y fundamentos.</w:t>
      </w:r>
    </w:p>
    <w:p w14:paraId="03A1EBFA" w14:textId="77777777" w:rsidR="00FD61DC" w:rsidRPr="00FD61DC" w:rsidRDefault="00FD61DC" w:rsidP="00FD61DC">
      <w:pPr>
        <w:jc w:val="both"/>
        <w:rPr>
          <w:rFonts w:ascii="Times New Roman" w:eastAsia="Arial" w:hAnsi="Times New Roman" w:cs="Times New Roman"/>
          <w:sz w:val="24"/>
          <w:szCs w:val="24"/>
        </w:rPr>
      </w:pPr>
      <w:r w:rsidRPr="00FD61DC">
        <w:rPr>
          <w:rFonts w:ascii="Times New Roman" w:eastAsia="Arial" w:hAnsi="Times New Roman" w:cs="Times New Roman"/>
          <w:sz w:val="24"/>
          <w:szCs w:val="24"/>
        </w:rPr>
        <w:t>Procedimientos de registro.</w:t>
      </w:r>
    </w:p>
    <w:p w14:paraId="75E69AC0" w14:textId="77777777" w:rsidR="00FD61DC" w:rsidRPr="00FD61DC" w:rsidRDefault="00FD61DC" w:rsidP="00FD61DC">
      <w:pPr>
        <w:jc w:val="both"/>
        <w:rPr>
          <w:rFonts w:ascii="Times New Roman" w:eastAsia="Arial" w:hAnsi="Times New Roman" w:cs="Times New Roman"/>
          <w:sz w:val="24"/>
          <w:szCs w:val="24"/>
        </w:rPr>
      </w:pPr>
      <w:r w:rsidRPr="00FD61DC">
        <w:rPr>
          <w:rFonts w:ascii="Times New Roman" w:eastAsia="Arial" w:hAnsi="Times New Roman" w:cs="Times New Roman"/>
          <w:sz w:val="24"/>
          <w:szCs w:val="24"/>
        </w:rPr>
        <w:t>Doctrina aplicable.</w:t>
      </w:r>
    </w:p>
    <w:p w14:paraId="2ACBBC26" w14:textId="77777777" w:rsidR="00FD61DC" w:rsidRPr="00FD61DC" w:rsidRDefault="00FD61DC" w:rsidP="00FD61DC">
      <w:pPr>
        <w:jc w:val="both"/>
        <w:rPr>
          <w:rFonts w:ascii="Times New Roman" w:eastAsia="Arial" w:hAnsi="Times New Roman" w:cs="Times New Roman"/>
          <w:sz w:val="24"/>
          <w:szCs w:val="24"/>
        </w:rPr>
      </w:pPr>
      <w:r w:rsidRPr="00FD61DC">
        <w:rPr>
          <w:rFonts w:ascii="Times New Roman" w:eastAsia="Arial" w:hAnsi="Times New Roman" w:cs="Times New Roman"/>
          <w:sz w:val="24"/>
          <w:szCs w:val="24"/>
        </w:rPr>
        <w:t>Jurisprudencia relevante vinculada a la validez de la prueba.</w:t>
      </w:r>
    </w:p>
    <w:p w14:paraId="64FDD625" w14:textId="77777777" w:rsidR="00FD61DC" w:rsidRPr="00FD61DC" w:rsidRDefault="00FD61DC" w:rsidP="00FD61DC">
      <w:pPr>
        <w:jc w:val="both"/>
        <w:rPr>
          <w:rFonts w:ascii="Times New Roman" w:eastAsia="Arial" w:hAnsi="Times New Roman" w:cs="Times New Roman"/>
          <w:b/>
          <w:bCs/>
          <w:sz w:val="24"/>
          <w:szCs w:val="24"/>
        </w:rPr>
      </w:pPr>
      <w:r w:rsidRPr="00FD61DC">
        <w:rPr>
          <w:rFonts w:ascii="Times New Roman" w:eastAsia="Arial" w:hAnsi="Times New Roman" w:cs="Times New Roman"/>
          <w:b/>
          <w:bCs/>
          <w:sz w:val="24"/>
          <w:szCs w:val="24"/>
        </w:rPr>
        <w:t>Unidad 6: Accidentologia Vial aplicada al lugar del hecho</w:t>
      </w:r>
    </w:p>
    <w:p w14:paraId="790D2932" w14:textId="77777777" w:rsidR="00FD61DC" w:rsidRPr="00FD61DC" w:rsidRDefault="00FD61DC" w:rsidP="00FD61DC">
      <w:pPr>
        <w:jc w:val="both"/>
        <w:rPr>
          <w:rFonts w:ascii="Times New Roman" w:eastAsia="Arial" w:hAnsi="Times New Roman" w:cs="Times New Roman"/>
          <w:sz w:val="24"/>
          <w:szCs w:val="24"/>
        </w:rPr>
      </w:pPr>
      <w:r w:rsidRPr="00FD61DC">
        <w:rPr>
          <w:rFonts w:ascii="Times New Roman" w:eastAsia="Arial" w:hAnsi="Times New Roman" w:cs="Times New Roman"/>
          <w:sz w:val="24"/>
          <w:szCs w:val="24"/>
        </w:rPr>
        <w:t>El siniestro vial como escena criminalística.</w:t>
      </w:r>
    </w:p>
    <w:p w14:paraId="08F2689D" w14:textId="77777777" w:rsidR="00FD61DC" w:rsidRPr="00FD61DC" w:rsidRDefault="00FD61DC" w:rsidP="00FD61DC">
      <w:pPr>
        <w:jc w:val="both"/>
        <w:rPr>
          <w:rFonts w:ascii="Times New Roman" w:eastAsia="Arial" w:hAnsi="Times New Roman" w:cs="Times New Roman"/>
          <w:sz w:val="24"/>
          <w:szCs w:val="24"/>
        </w:rPr>
      </w:pPr>
      <w:r w:rsidRPr="00FD61DC">
        <w:rPr>
          <w:rFonts w:ascii="Times New Roman" w:eastAsia="Arial" w:hAnsi="Times New Roman" w:cs="Times New Roman"/>
          <w:sz w:val="24"/>
          <w:szCs w:val="24"/>
        </w:rPr>
        <w:t>Particularidades del abordaje en hechos de tránsito.</w:t>
      </w:r>
    </w:p>
    <w:p w14:paraId="56A415D7" w14:textId="77777777" w:rsidR="00FD61DC" w:rsidRPr="00FD61DC" w:rsidRDefault="00FD61DC" w:rsidP="00FD61DC">
      <w:pPr>
        <w:jc w:val="both"/>
        <w:rPr>
          <w:rFonts w:ascii="Times New Roman" w:eastAsia="Arial" w:hAnsi="Times New Roman" w:cs="Times New Roman"/>
          <w:sz w:val="24"/>
          <w:szCs w:val="24"/>
        </w:rPr>
      </w:pPr>
      <w:r w:rsidRPr="00FD61DC">
        <w:rPr>
          <w:rFonts w:ascii="Times New Roman" w:eastAsia="Arial" w:hAnsi="Times New Roman" w:cs="Times New Roman"/>
          <w:sz w:val="24"/>
          <w:szCs w:val="24"/>
        </w:rPr>
        <w:t xml:space="preserve">Aplicación del triángulo </w:t>
      </w:r>
      <w:proofErr w:type="spellStart"/>
      <w:r w:rsidRPr="00FD61DC">
        <w:rPr>
          <w:rFonts w:ascii="Times New Roman" w:eastAsia="Arial" w:hAnsi="Times New Roman" w:cs="Times New Roman"/>
          <w:sz w:val="24"/>
          <w:szCs w:val="24"/>
        </w:rPr>
        <w:t>accidentológico</w:t>
      </w:r>
      <w:proofErr w:type="spellEnd"/>
      <w:r w:rsidRPr="00FD61DC">
        <w:rPr>
          <w:rFonts w:ascii="Times New Roman" w:eastAsia="Arial" w:hAnsi="Times New Roman" w:cs="Times New Roman"/>
          <w:sz w:val="24"/>
          <w:szCs w:val="24"/>
        </w:rPr>
        <w:t xml:space="preserve"> en la escena.</w:t>
      </w:r>
    </w:p>
    <w:p w14:paraId="6FE6CBE5" w14:textId="77777777" w:rsidR="00FD61DC" w:rsidRPr="00FD61DC" w:rsidRDefault="00FD61DC" w:rsidP="00FD61DC">
      <w:pPr>
        <w:jc w:val="both"/>
        <w:rPr>
          <w:rFonts w:ascii="Times New Roman" w:eastAsia="Arial" w:hAnsi="Times New Roman" w:cs="Times New Roman"/>
          <w:sz w:val="24"/>
          <w:szCs w:val="24"/>
        </w:rPr>
      </w:pPr>
      <w:r w:rsidRPr="00FD61DC">
        <w:rPr>
          <w:rFonts w:ascii="Times New Roman" w:eastAsia="Arial" w:hAnsi="Times New Roman" w:cs="Times New Roman"/>
          <w:sz w:val="24"/>
          <w:szCs w:val="24"/>
        </w:rPr>
        <w:t xml:space="preserve">Identificación de indicios </w:t>
      </w:r>
      <w:proofErr w:type="spellStart"/>
      <w:r w:rsidRPr="00FD61DC">
        <w:rPr>
          <w:rFonts w:ascii="Times New Roman" w:eastAsia="Arial" w:hAnsi="Times New Roman" w:cs="Times New Roman"/>
          <w:sz w:val="24"/>
          <w:szCs w:val="24"/>
        </w:rPr>
        <w:t>accidentológicos</w:t>
      </w:r>
      <w:proofErr w:type="spellEnd"/>
      <w:r w:rsidRPr="00FD61DC">
        <w:rPr>
          <w:rFonts w:ascii="Times New Roman" w:eastAsia="Arial" w:hAnsi="Times New Roman" w:cs="Times New Roman"/>
          <w:sz w:val="24"/>
          <w:szCs w:val="24"/>
        </w:rPr>
        <w:t>:</w:t>
      </w:r>
    </w:p>
    <w:p w14:paraId="0428F486" w14:textId="77777777" w:rsidR="00FD61DC" w:rsidRPr="00FD61DC" w:rsidRDefault="00FD61DC" w:rsidP="00FD61DC">
      <w:pPr>
        <w:jc w:val="both"/>
        <w:rPr>
          <w:rFonts w:ascii="Times New Roman" w:eastAsia="Arial" w:hAnsi="Times New Roman" w:cs="Times New Roman"/>
          <w:sz w:val="24"/>
          <w:szCs w:val="24"/>
        </w:rPr>
      </w:pPr>
      <w:r w:rsidRPr="00FD61DC">
        <w:rPr>
          <w:rFonts w:ascii="Times New Roman" w:eastAsia="Arial" w:hAnsi="Times New Roman" w:cs="Times New Roman"/>
          <w:sz w:val="24"/>
          <w:szCs w:val="24"/>
        </w:rPr>
        <w:t>Huellas de frenado, derrape y arrastre.</w:t>
      </w:r>
    </w:p>
    <w:p w14:paraId="3239748C" w14:textId="77777777" w:rsidR="00FD61DC" w:rsidRPr="00FD61DC" w:rsidRDefault="00FD61DC" w:rsidP="00FD61DC">
      <w:pPr>
        <w:jc w:val="both"/>
        <w:rPr>
          <w:rFonts w:ascii="Times New Roman" w:eastAsia="Arial" w:hAnsi="Times New Roman" w:cs="Times New Roman"/>
          <w:sz w:val="24"/>
          <w:szCs w:val="24"/>
        </w:rPr>
      </w:pPr>
      <w:r w:rsidRPr="00FD61DC">
        <w:rPr>
          <w:rFonts w:ascii="Times New Roman" w:eastAsia="Arial" w:hAnsi="Times New Roman" w:cs="Times New Roman"/>
          <w:sz w:val="24"/>
          <w:szCs w:val="24"/>
        </w:rPr>
        <w:t>Marcas de impacto.</w:t>
      </w:r>
    </w:p>
    <w:p w14:paraId="6138FDB8" w14:textId="77777777" w:rsidR="00FD61DC" w:rsidRPr="00FD61DC" w:rsidRDefault="00FD61DC" w:rsidP="00FD61DC">
      <w:pPr>
        <w:jc w:val="both"/>
        <w:rPr>
          <w:rFonts w:ascii="Times New Roman" w:eastAsia="Arial" w:hAnsi="Times New Roman" w:cs="Times New Roman"/>
          <w:sz w:val="24"/>
          <w:szCs w:val="24"/>
        </w:rPr>
      </w:pPr>
      <w:r w:rsidRPr="00FD61DC">
        <w:rPr>
          <w:rFonts w:ascii="Times New Roman" w:eastAsia="Arial" w:hAnsi="Times New Roman" w:cs="Times New Roman"/>
          <w:sz w:val="24"/>
          <w:szCs w:val="24"/>
        </w:rPr>
        <w:t>Restos de autopartes y fluidos.</w:t>
      </w:r>
    </w:p>
    <w:p w14:paraId="626A5408" w14:textId="74FD1E02" w:rsidR="00FD61DC" w:rsidRPr="00FD61DC" w:rsidRDefault="00FD61DC" w:rsidP="00FD61DC">
      <w:pPr>
        <w:jc w:val="both"/>
        <w:rPr>
          <w:rFonts w:ascii="Times New Roman" w:eastAsia="Arial" w:hAnsi="Times New Roman" w:cs="Times New Roman"/>
          <w:sz w:val="24"/>
          <w:szCs w:val="24"/>
        </w:rPr>
      </w:pPr>
      <w:r w:rsidRPr="00FD61DC">
        <w:rPr>
          <w:rFonts w:ascii="Times New Roman" w:eastAsia="Arial" w:hAnsi="Times New Roman" w:cs="Times New Roman"/>
          <w:sz w:val="24"/>
          <w:szCs w:val="24"/>
        </w:rPr>
        <w:t xml:space="preserve">visu mecánico </w:t>
      </w:r>
      <w:r w:rsidRPr="00FD61DC">
        <w:rPr>
          <w:rFonts w:ascii="Times New Roman" w:eastAsia="Arial" w:hAnsi="Times New Roman" w:cs="Times New Roman"/>
          <w:sz w:val="24"/>
          <w:szCs w:val="24"/>
        </w:rPr>
        <w:t>de</w:t>
      </w:r>
      <w:r w:rsidRPr="00FD61DC">
        <w:rPr>
          <w:rFonts w:ascii="Times New Roman" w:eastAsia="Arial" w:hAnsi="Times New Roman" w:cs="Times New Roman"/>
          <w:sz w:val="24"/>
          <w:szCs w:val="24"/>
        </w:rPr>
        <w:t xml:space="preserve"> los rodados sistema de seguridad pasiva y activa </w:t>
      </w:r>
    </w:p>
    <w:p w14:paraId="2426AF18" w14:textId="77777777" w:rsidR="00FD61DC" w:rsidRPr="00FD61DC" w:rsidRDefault="00FD61DC" w:rsidP="00FD61DC">
      <w:pPr>
        <w:jc w:val="both"/>
        <w:rPr>
          <w:rFonts w:ascii="Times New Roman" w:eastAsia="Arial" w:hAnsi="Times New Roman" w:cs="Times New Roman"/>
          <w:sz w:val="24"/>
          <w:szCs w:val="24"/>
        </w:rPr>
      </w:pPr>
      <w:r w:rsidRPr="00FD61DC">
        <w:rPr>
          <w:rFonts w:ascii="Times New Roman" w:eastAsia="Arial" w:hAnsi="Times New Roman" w:cs="Times New Roman"/>
          <w:sz w:val="24"/>
          <w:szCs w:val="24"/>
        </w:rPr>
        <w:t>Posición final de rodados y víctimas.</w:t>
      </w:r>
    </w:p>
    <w:p w14:paraId="7B17ECAE" w14:textId="77777777" w:rsidR="00FD61DC" w:rsidRPr="00FD61DC" w:rsidRDefault="00FD61DC" w:rsidP="00FD61DC">
      <w:pPr>
        <w:jc w:val="both"/>
        <w:rPr>
          <w:rFonts w:ascii="Times New Roman" w:eastAsia="Arial" w:hAnsi="Times New Roman" w:cs="Times New Roman"/>
          <w:sz w:val="24"/>
          <w:szCs w:val="24"/>
        </w:rPr>
      </w:pPr>
      <w:r w:rsidRPr="00FD61DC">
        <w:rPr>
          <w:rFonts w:ascii="Times New Roman" w:eastAsia="Arial" w:hAnsi="Times New Roman" w:cs="Times New Roman"/>
          <w:sz w:val="24"/>
          <w:szCs w:val="24"/>
        </w:rPr>
        <w:t>Fijación técnica del siniestro vial (fotografía, planimetría y descripción).</w:t>
      </w:r>
    </w:p>
    <w:p w14:paraId="5FDFBB8E" w14:textId="77777777" w:rsidR="00FD61DC" w:rsidRPr="00FD61DC" w:rsidRDefault="00FD61DC" w:rsidP="00FD61DC">
      <w:pPr>
        <w:jc w:val="both"/>
        <w:rPr>
          <w:rFonts w:ascii="Times New Roman" w:eastAsia="Arial" w:hAnsi="Times New Roman" w:cs="Times New Roman"/>
          <w:sz w:val="24"/>
          <w:szCs w:val="24"/>
        </w:rPr>
      </w:pPr>
      <w:r w:rsidRPr="00FD61DC">
        <w:rPr>
          <w:rFonts w:ascii="Times New Roman" w:eastAsia="Arial" w:hAnsi="Times New Roman" w:cs="Times New Roman"/>
          <w:sz w:val="24"/>
          <w:szCs w:val="24"/>
        </w:rPr>
        <w:t>Preservación y levantamiento de evidencia vial.</w:t>
      </w:r>
    </w:p>
    <w:p w14:paraId="252B299A" w14:textId="77777777" w:rsidR="00FD61DC" w:rsidRPr="00FD61DC" w:rsidRDefault="00FD61DC" w:rsidP="00FD61DC">
      <w:pPr>
        <w:jc w:val="both"/>
        <w:rPr>
          <w:rFonts w:ascii="Times New Roman" w:eastAsia="Arial" w:hAnsi="Times New Roman" w:cs="Times New Roman"/>
          <w:sz w:val="24"/>
          <w:szCs w:val="24"/>
        </w:rPr>
      </w:pPr>
      <w:r w:rsidRPr="00FD61DC">
        <w:rPr>
          <w:rFonts w:ascii="Times New Roman" w:eastAsia="Arial" w:hAnsi="Times New Roman" w:cs="Times New Roman"/>
          <w:sz w:val="24"/>
          <w:szCs w:val="24"/>
        </w:rPr>
        <w:t>Cadena de custodia en hechos de tránsito.</w:t>
      </w:r>
    </w:p>
    <w:p w14:paraId="03E7CBD2" w14:textId="77777777" w:rsidR="00FD61DC" w:rsidRPr="00FD61DC" w:rsidRDefault="00FD61DC" w:rsidP="00FD61DC">
      <w:pPr>
        <w:jc w:val="both"/>
        <w:rPr>
          <w:rFonts w:ascii="Times New Roman" w:eastAsia="Arial" w:hAnsi="Times New Roman" w:cs="Times New Roman"/>
          <w:sz w:val="24"/>
          <w:szCs w:val="24"/>
        </w:rPr>
      </w:pPr>
      <w:r w:rsidRPr="00FD61DC">
        <w:rPr>
          <w:rFonts w:ascii="Times New Roman" w:eastAsia="Arial" w:hAnsi="Times New Roman" w:cs="Times New Roman"/>
          <w:sz w:val="24"/>
          <w:szCs w:val="24"/>
        </w:rPr>
        <w:t xml:space="preserve">Articulación entre el trabajo de campo y la pericia </w:t>
      </w:r>
      <w:proofErr w:type="spellStart"/>
      <w:r w:rsidRPr="00FD61DC">
        <w:rPr>
          <w:rFonts w:ascii="Times New Roman" w:eastAsia="Arial" w:hAnsi="Times New Roman" w:cs="Times New Roman"/>
          <w:sz w:val="24"/>
          <w:szCs w:val="24"/>
        </w:rPr>
        <w:t>accidentológica</w:t>
      </w:r>
      <w:proofErr w:type="spellEnd"/>
      <w:r w:rsidRPr="00FD61DC">
        <w:rPr>
          <w:rFonts w:ascii="Times New Roman" w:eastAsia="Arial" w:hAnsi="Times New Roman" w:cs="Times New Roman"/>
          <w:sz w:val="24"/>
          <w:szCs w:val="24"/>
        </w:rPr>
        <w:t>.</w:t>
      </w:r>
    </w:p>
    <w:p w14:paraId="76CB4906" w14:textId="77777777" w:rsidR="00FD61DC" w:rsidRPr="00FD61DC" w:rsidRDefault="00FD61DC" w:rsidP="00FD3F2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FD61DC" w:rsidRPr="00FD61DC">
      <w:headerReference w:type="default" r:id="rId6"/>
      <w:foot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954083" w14:textId="77777777" w:rsidR="00D35B7D" w:rsidRDefault="00D35B7D" w:rsidP="00FD3F2B">
      <w:pPr>
        <w:spacing w:after="0" w:line="240" w:lineRule="auto"/>
      </w:pPr>
      <w:r>
        <w:separator/>
      </w:r>
    </w:p>
  </w:endnote>
  <w:endnote w:type="continuationSeparator" w:id="0">
    <w:p w14:paraId="57450083" w14:textId="77777777" w:rsidR="00D35B7D" w:rsidRDefault="00D35B7D" w:rsidP="00FD3F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FBA383" w14:textId="2CBFB546" w:rsidR="00FD3F2B" w:rsidRDefault="00FD3F2B">
    <w:pPr>
      <w:pStyle w:val="Piedepgina"/>
    </w:pPr>
    <w:r>
      <w:rPr>
        <w:noProof/>
        <w:color w:val="000000"/>
        <w:lang w:val="es-AR"/>
      </w:rPr>
      <w:drawing>
        <wp:inline distT="0" distB="0" distL="0" distR="0" wp14:anchorId="5199FFFE" wp14:editId="1BFE8AA4">
          <wp:extent cx="5397500" cy="682625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397500" cy="68262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2F99E5" w14:textId="77777777" w:rsidR="00D35B7D" w:rsidRDefault="00D35B7D" w:rsidP="00FD3F2B">
      <w:pPr>
        <w:spacing w:after="0" w:line="240" w:lineRule="auto"/>
      </w:pPr>
      <w:r>
        <w:separator/>
      </w:r>
    </w:p>
  </w:footnote>
  <w:footnote w:type="continuationSeparator" w:id="0">
    <w:p w14:paraId="40D93EC6" w14:textId="77777777" w:rsidR="00D35B7D" w:rsidRDefault="00D35B7D" w:rsidP="00FD3F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6CADDC" w14:textId="4D8A44AB" w:rsidR="00FD3F2B" w:rsidRDefault="00FD3F2B" w:rsidP="00FD3F2B">
    <w:pPr>
      <w:pStyle w:val="Encabezado"/>
      <w:jc w:val="right"/>
    </w:pPr>
    <w:r w:rsidRPr="00FD3F2B">
      <w:rPr>
        <w:rFonts w:ascii="Calibri" w:eastAsia="Calibri" w:hAnsi="Calibri" w:cs="Calibri"/>
        <w:noProof/>
        <w:color w:val="000000"/>
        <w:lang w:val="es-AR" w:eastAsia="es-AR"/>
      </w:rPr>
      <w:drawing>
        <wp:inline distT="0" distB="0" distL="0" distR="0" wp14:anchorId="5531CBE7" wp14:editId="75FD2F70">
          <wp:extent cx="2343150" cy="952500"/>
          <wp:effectExtent l="0" t="0" r="0" b="0"/>
          <wp:docPr id="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344081" cy="95287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5EFC49AE" w14:textId="77777777" w:rsidR="00FD3F2B" w:rsidRDefault="00FD3F2B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3F2B"/>
    <w:rsid w:val="005B4F5B"/>
    <w:rsid w:val="00D35B7D"/>
    <w:rsid w:val="00FD3F2B"/>
    <w:rsid w:val="00FD61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F73B27A"/>
  <w15:chartTrackingRefBased/>
  <w15:docId w15:val="{31EB7B45-DAE1-4EC9-BDE8-4D8BED8A4D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FD3F2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D3F2B"/>
  </w:style>
  <w:style w:type="paragraph" w:styleId="Piedepgina">
    <w:name w:val="footer"/>
    <w:basedOn w:val="Normal"/>
    <w:link w:val="PiedepginaCar"/>
    <w:uiPriority w:val="99"/>
    <w:unhideWhenUsed/>
    <w:rsid w:val="00FD3F2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D3F2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287</Words>
  <Characters>1583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Carlos Alberto Ibarra</dc:creator>
  <cp:keywords/>
  <dc:description/>
  <cp:lastModifiedBy>Carlos Alberto Ibarra</cp:lastModifiedBy>
  <cp:revision>1</cp:revision>
  <dcterms:created xsi:type="dcterms:W3CDTF">2026-02-18T14:52:00Z</dcterms:created>
  <dcterms:modified xsi:type="dcterms:W3CDTF">2026-02-18T15:09:00Z</dcterms:modified>
</cp:coreProperties>
</file>