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BDE5" w14:textId="319E1AB5" w:rsidR="005B4F5B" w:rsidRDefault="00FD3F2B" w:rsidP="00FD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INSTITUTO SUPERIOR I.F </w:t>
      </w:r>
    </w:p>
    <w:p w14:paraId="19735139" w14:textId="3970CA7E" w:rsidR="00FD3F2B" w:rsidRDefault="00FD61DC" w:rsidP="00FD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CATEDRA: CRIMINALISTICA DE CAMPO II</w:t>
      </w:r>
    </w:p>
    <w:p w14:paraId="37152568" w14:textId="0EF274DE" w:rsidR="00FD61DC" w:rsidRDefault="00FD61DC" w:rsidP="00FD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PROGRAMA ANALITICO </w:t>
      </w:r>
    </w:p>
    <w:p w14:paraId="067A16E2" w14:textId="0A0DE6DC" w:rsidR="00FD61DC" w:rsidRDefault="00FD61DC" w:rsidP="00FD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AÑO 2025 </w:t>
      </w:r>
    </w:p>
    <w:p w14:paraId="525E40E4" w14:textId="04EC42CC" w:rsidR="00FD61DC" w:rsidRDefault="00FD61DC" w:rsidP="00FD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D5EDE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D61DC">
        <w:rPr>
          <w:rFonts w:ascii="Times New Roman" w:eastAsia="Arial" w:hAnsi="Times New Roman" w:cs="Times New Roman"/>
          <w:b/>
          <w:bCs/>
          <w:sz w:val="24"/>
          <w:szCs w:val="24"/>
        </w:rPr>
        <w:t>Unidad 1: Criminalística de Campo y Escena del Crimen</w:t>
      </w:r>
    </w:p>
    <w:p w14:paraId="4EED55DF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Concepto y objeto de la Criminalística de Campo.</w:t>
      </w:r>
    </w:p>
    <w:p w14:paraId="02042328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La escena del crimen: definición, tipos y características.</w:t>
      </w:r>
    </w:p>
    <w:p w14:paraId="73C57285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Escena primaria y secundaria.</w:t>
      </w:r>
    </w:p>
    <w:p w14:paraId="78C752F9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Preservación del lugar del hecho.</w:t>
      </w:r>
    </w:p>
    <w:p w14:paraId="11C71891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Rol del primer interviniente.</w:t>
      </w:r>
    </w:p>
    <w:p w14:paraId="1E061AC4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D61DC">
        <w:rPr>
          <w:rFonts w:ascii="Times New Roman" w:eastAsia="Arial" w:hAnsi="Times New Roman" w:cs="Times New Roman"/>
          <w:b/>
          <w:bCs/>
          <w:sz w:val="24"/>
          <w:szCs w:val="24"/>
        </w:rPr>
        <w:t>Unidad 2: Observación metódica y evidencia física</w:t>
      </w:r>
    </w:p>
    <w:p w14:paraId="6B3D8B7F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Observación sistemática y objetiva.</w:t>
      </w:r>
    </w:p>
    <w:p w14:paraId="331D6D1E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Evidencia física, indicio y prueba.</w:t>
      </w:r>
    </w:p>
    <w:p w14:paraId="0AEFD39F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Clasificación de la evidencia.</w:t>
      </w:r>
    </w:p>
    <w:p w14:paraId="2D962553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Errores frecuentes en la observación del lugar del hecho.</w:t>
      </w:r>
    </w:p>
    <w:p w14:paraId="74229B38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D61DC">
        <w:rPr>
          <w:rFonts w:ascii="Times New Roman" w:eastAsia="Arial" w:hAnsi="Times New Roman" w:cs="Times New Roman"/>
          <w:b/>
          <w:bCs/>
          <w:sz w:val="24"/>
          <w:szCs w:val="24"/>
        </w:rPr>
        <w:t>Unidad 3: Fijación del lugar del hecho</w:t>
      </w:r>
    </w:p>
    <w:p w14:paraId="6EA9AAC7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Descripción escrita: criterios de claridad, precisión y objetividad.</w:t>
      </w:r>
    </w:p>
    <w:p w14:paraId="7E0982CF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Croquis y planimetría básica.</w:t>
      </w:r>
    </w:p>
    <w:p w14:paraId="4DEC3C67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Fotografía forense: tipos, técnicas y valor probatorio.</w:t>
      </w:r>
    </w:p>
    <w:p w14:paraId="7AD62956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Integración de los métodos de fijación.</w:t>
      </w:r>
    </w:p>
    <w:p w14:paraId="04FCB3FE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D61DC">
        <w:rPr>
          <w:rFonts w:ascii="Times New Roman" w:eastAsia="Arial" w:hAnsi="Times New Roman" w:cs="Times New Roman"/>
          <w:b/>
          <w:bCs/>
          <w:sz w:val="24"/>
          <w:szCs w:val="24"/>
        </w:rPr>
        <w:t>Unidad 4: Recolección y conservación de indicios</w:t>
      </w:r>
    </w:p>
    <w:p w14:paraId="6D91D28A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Técnicas de levantamiento de evidencia.</w:t>
      </w:r>
    </w:p>
    <w:p w14:paraId="0E46EBFA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Embalaje, rotulado y conservación según el tipo de indicio.</w:t>
      </w:r>
    </w:p>
    <w:p w14:paraId="51D78267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Suministro al laboratorio forense.</w:t>
      </w:r>
    </w:p>
    <w:p w14:paraId="53B2862E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Recaudos técnicos y legales.</w:t>
      </w:r>
    </w:p>
    <w:p w14:paraId="02D2679C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CDD776E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D61DC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Unidad 5: Cadena de custodia</w:t>
      </w:r>
    </w:p>
    <w:p w14:paraId="373B93CD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Concepto, finalidad y fundamentos.</w:t>
      </w:r>
    </w:p>
    <w:p w14:paraId="03A1EBFA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Procedimientos de registro.</w:t>
      </w:r>
    </w:p>
    <w:p w14:paraId="75E69AC0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Doctrina aplicable.</w:t>
      </w:r>
    </w:p>
    <w:p w14:paraId="2ACBBC26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Jurisprudencia relevante vinculada a la validez de la prueba.</w:t>
      </w:r>
    </w:p>
    <w:p w14:paraId="64FDD625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D61DC">
        <w:rPr>
          <w:rFonts w:ascii="Times New Roman" w:eastAsia="Arial" w:hAnsi="Times New Roman" w:cs="Times New Roman"/>
          <w:b/>
          <w:bCs/>
          <w:sz w:val="24"/>
          <w:szCs w:val="24"/>
        </w:rPr>
        <w:t>Unidad 6: Accidentologia Vial aplicada al lugar del hecho</w:t>
      </w:r>
    </w:p>
    <w:p w14:paraId="790D2932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El siniestro vial como escena criminalística.</w:t>
      </w:r>
    </w:p>
    <w:p w14:paraId="08F2689D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Particularidades del abordaje en hechos de tránsito.</w:t>
      </w:r>
    </w:p>
    <w:p w14:paraId="56A415D7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 xml:space="preserve">Aplicación del triángulo </w:t>
      </w:r>
      <w:proofErr w:type="spellStart"/>
      <w:r w:rsidRPr="00FD61DC">
        <w:rPr>
          <w:rFonts w:ascii="Times New Roman" w:eastAsia="Arial" w:hAnsi="Times New Roman" w:cs="Times New Roman"/>
          <w:sz w:val="24"/>
          <w:szCs w:val="24"/>
        </w:rPr>
        <w:t>accidentológico</w:t>
      </w:r>
      <w:proofErr w:type="spellEnd"/>
      <w:r w:rsidRPr="00FD61DC">
        <w:rPr>
          <w:rFonts w:ascii="Times New Roman" w:eastAsia="Arial" w:hAnsi="Times New Roman" w:cs="Times New Roman"/>
          <w:sz w:val="24"/>
          <w:szCs w:val="24"/>
        </w:rPr>
        <w:t xml:space="preserve"> en la escena.</w:t>
      </w:r>
    </w:p>
    <w:p w14:paraId="6FE6CBE5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 xml:space="preserve">Identificación de indicios </w:t>
      </w:r>
      <w:proofErr w:type="spellStart"/>
      <w:r w:rsidRPr="00FD61DC">
        <w:rPr>
          <w:rFonts w:ascii="Times New Roman" w:eastAsia="Arial" w:hAnsi="Times New Roman" w:cs="Times New Roman"/>
          <w:sz w:val="24"/>
          <w:szCs w:val="24"/>
        </w:rPr>
        <w:t>accidentológicos</w:t>
      </w:r>
      <w:proofErr w:type="spellEnd"/>
      <w:r w:rsidRPr="00FD61DC">
        <w:rPr>
          <w:rFonts w:ascii="Times New Roman" w:eastAsia="Arial" w:hAnsi="Times New Roman" w:cs="Times New Roman"/>
          <w:sz w:val="24"/>
          <w:szCs w:val="24"/>
        </w:rPr>
        <w:t>:</w:t>
      </w:r>
    </w:p>
    <w:p w14:paraId="0428F486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Huellas de frenado, derrape y arrastre.</w:t>
      </w:r>
    </w:p>
    <w:p w14:paraId="3239748C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Marcas de impacto.</w:t>
      </w:r>
    </w:p>
    <w:p w14:paraId="6138FDB8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Restos de autopartes y fluidos.</w:t>
      </w:r>
    </w:p>
    <w:p w14:paraId="626A5408" w14:textId="74FD1E02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 xml:space="preserve">visu mecánico </w:t>
      </w:r>
      <w:r w:rsidRPr="00FD61DC">
        <w:rPr>
          <w:rFonts w:ascii="Times New Roman" w:eastAsia="Arial" w:hAnsi="Times New Roman" w:cs="Times New Roman"/>
          <w:sz w:val="24"/>
          <w:szCs w:val="24"/>
        </w:rPr>
        <w:t>de</w:t>
      </w:r>
      <w:r w:rsidRPr="00FD61DC">
        <w:rPr>
          <w:rFonts w:ascii="Times New Roman" w:eastAsia="Arial" w:hAnsi="Times New Roman" w:cs="Times New Roman"/>
          <w:sz w:val="24"/>
          <w:szCs w:val="24"/>
        </w:rPr>
        <w:t xml:space="preserve"> los rodados sistema de seguridad pasiva y activa </w:t>
      </w:r>
    </w:p>
    <w:p w14:paraId="2426AF18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Posición final de rodados y víctimas.</w:t>
      </w:r>
    </w:p>
    <w:p w14:paraId="7B17ECAE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Fijación técnica del siniestro vial (fotografía, planimetría y descripción).</w:t>
      </w:r>
    </w:p>
    <w:p w14:paraId="5FDFBB8E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Preservación y levantamiento de evidencia vial.</w:t>
      </w:r>
    </w:p>
    <w:p w14:paraId="252B299A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>Cadena de custodia en hechos de tránsito.</w:t>
      </w:r>
    </w:p>
    <w:p w14:paraId="03E7CBD2" w14:textId="77777777" w:rsidR="00FD61DC" w:rsidRPr="00FD61DC" w:rsidRDefault="00FD61DC" w:rsidP="00FD61D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D61DC">
        <w:rPr>
          <w:rFonts w:ascii="Times New Roman" w:eastAsia="Arial" w:hAnsi="Times New Roman" w:cs="Times New Roman"/>
          <w:sz w:val="24"/>
          <w:szCs w:val="24"/>
        </w:rPr>
        <w:t xml:space="preserve">Articulación entre el trabajo de campo y la pericia </w:t>
      </w:r>
      <w:proofErr w:type="spellStart"/>
      <w:r w:rsidRPr="00FD61DC">
        <w:rPr>
          <w:rFonts w:ascii="Times New Roman" w:eastAsia="Arial" w:hAnsi="Times New Roman" w:cs="Times New Roman"/>
          <w:sz w:val="24"/>
          <w:szCs w:val="24"/>
        </w:rPr>
        <w:t>accidentológica</w:t>
      </w:r>
      <w:proofErr w:type="spellEnd"/>
      <w:r w:rsidRPr="00FD61DC">
        <w:rPr>
          <w:rFonts w:ascii="Times New Roman" w:eastAsia="Arial" w:hAnsi="Times New Roman" w:cs="Times New Roman"/>
          <w:sz w:val="24"/>
          <w:szCs w:val="24"/>
        </w:rPr>
        <w:t>.</w:t>
      </w:r>
    </w:p>
    <w:p w14:paraId="76CB4906" w14:textId="77777777" w:rsidR="00FD61DC" w:rsidRPr="00FD61DC" w:rsidRDefault="00FD61DC" w:rsidP="00FD3F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D61DC" w:rsidRPr="00FD61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4083" w14:textId="77777777" w:rsidR="00D35B7D" w:rsidRDefault="00D35B7D" w:rsidP="00FD3F2B">
      <w:pPr>
        <w:spacing w:after="0" w:line="240" w:lineRule="auto"/>
      </w:pPr>
      <w:r>
        <w:separator/>
      </w:r>
    </w:p>
  </w:endnote>
  <w:endnote w:type="continuationSeparator" w:id="0">
    <w:p w14:paraId="57450083" w14:textId="77777777" w:rsidR="00D35B7D" w:rsidRDefault="00D35B7D" w:rsidP="00FD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A383" w14:textId="2CBFB546" w:rsidR="00FD3F2B" w:rsidRDefault="00FD3F2B">
    <w:pPr>
      <w:pStyle w:val="Piedepgina"/>
    </w:pPr>
    <w:r>
      <w:rPr>
        <w:noProof/>
        <w:color w:val="000000"/>
        <w:lang w:val="es-AR"/>
      </w:rPr>
      <w:drawing>
        <wp:inline distT="0" distB="0" distL="0" distR="0" wp14:anchorId="5199FFFE" wp14:editId="1BFE8AA4">
          <wp:extent cx="5397500" cy="68262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0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99E5" w14:textId="77777777" w:rsidR="00D35B7D" w:rsidRDefault="00D35B7D" w:rsidP="00FD3F2B">
      <w:pPr>
        <w:spacing w:after="0" w:line="240" w:lineRule="auto"/>
      </w:pPr>
      <w:r>
        <w:separator/>
      </w:r>
    </w:p>
  </w:footnote>
  <w:footnote w:type="continuationSeparator" w:id="0">
    <w:p w14:paraId="40D93EC6" w14:textId="77777777" w:rsidR="00D35B7D" w:rsidRDefault="00D35B7D" w:rsidP="00FD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ADDC" w14:textId="4D8A44AB" w:rsidR="00FD3F2B" w:rsidRDefault="00FD3F2B" w:rsidP="00FD3F2B">
    <w:pPr>
      <w:pStyle w:val="Encabezado"/>
      <w:jc w:val="right"/>
    </w:pPr>
    <w:r w:rsidRPr="00FD3F2B">
      <w:rPr>
        <w:rFonts w:ascii="Calibri" w:eastAsia="Calibri" w:hAnsi="Calibri" w:cs="Calibri"/>
        <w:noProof/>
        <w:color w:val="000000"/>
        <w:lang w:val="es-AR" w:eastAsia="es-AR"/>
      </w:rPr>
      <w:drawing>
        <wp:inline distT="0" distB="0" distL="0" distR="0" wp14:anchorId="5531CBE7" wp14:editId="75FD2F70">
          <wp:extent cx="2343150" cy="952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081" cy="952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FC49AE" w14:textId="77777777" w:rsidR="00FD3F2B" w:rsidRDefault="00FD3F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B"/>
    <w:rsid w:val="005B4F5B"/>
    <w:rsid w:val="00D35B7D"/>
    <w:rsid w:val="00FD3F2B"/>
    <w:rsid w:val="00FD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B27A"/>
  <w15:chartTrackingRefBased/>
  <w15:docId w15:val="{31EB7B45-DAE1-4EC9-BDE8-4D8BED8A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F2B"/>
  </w:style>
  <w:style w:type="paragraph" w:styleId="Piedepgina">
    <w:name w:val="footer"/>
    <w:basedOn w:val="Normal"/>
    <w:link w:val="PiedepginaCar"/>
    <w:uiPriority w:val="99"/>
    <w:unhideWhenUsed/>
    <w:rsid w:val="00FD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Ibarra</dc:creator>
  <cp:keywords/>
  <dc:description/>
  <cp:lastModifiedBy>Carlos Alberto Ibarra</cp:lastModifiedBy>
  <cp:revision>1</cp:revision>
  <dcterms:created xsi:type="dcterms:W3CDTF">2026-02-18T14:52:00Z</dcterms:created>
  <dcterms:modified xsi:type="dcterms:W3CDTF">2026-02-18T15:09:00Z</dcterms:modified>
</cp:coreProperties>
</file>